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7AE" w:rsidRPr="00B750DE" w:rsidRDefault="00CB5666" w:rsidP="00AD1ADB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rect id="_x0000_s1027" style="position:absolute;left:0;text-align:left;margin-left:-234.8pt;margin-top:0;width:214.2pt;height:696.75pt;flip:x;z-index:251660288;mso-width-percent:350;mso-wrap-distance-top:7.2pt;mso-wrap-distance-bottom:7.2pt;mso-position-horizontal:outside;mso-position-horizontal-relative:page;mso-position-vertical:center;mso-position-vertical-relative:page;mso-width-percent:350;mso-height-relative:margin" o:allowincell="f" fillcolor="#4f81bd [3204]" stroked="f" strokecolor="black [3213]" strokeweight="1.5pt">
            <v:shadow color="#f79646 [3209]" opacity=".5" offset="-15pt,0" offset2="-18pt,12pt"/>
            <v:textbox style="mso-next-textbox:#_x0000_s1027" inset="21.6pt,21.6pt,21.6pt,21.6pt">
              <w:txbxContent>
                <w:p w:rsidR="008B7C61" w:rsidRPr="008B7C61" w:rsidRDefault="00B717AE" w:rsidP="008F0B41">
                  <w:pPr>
                    <w:rPr>
                      <w:b/>
                    </w:rPr>
                  </w:pPr>
                  <w:r w:rsidRPr="00EB5526">
                    <w:rPr>
                      <w:b/>
                      <w:sz w:val="28"/>
                    </w:rPr>
                    <w:t>Definitions</w:t>
                  </w:r>
                  <w:r>
                    <w:rPr>
                      <w:b/>
                      <w:sz w:val="28"/>
                    </w:rPr>
                    <w:t xml:space="preserve"> and Facts</w:t>
                  </w:r>
                </w:p>
                <w:p w:rsidR="00B717AE" w:rsidRPr="00CB5666" w:rsidRDefault="00B717AE" w:rsidP="00CB5666">
                  <w:pPr>
                    <w:pStyle w:val="ListParagraph"/>
                    <w:numPr>
                      <w:ilvl w:val="0"/>
                      <w:numId w:val="7"/>
                    </w:numPr>
                    <w:spacing w:before="120"/>
                    <w:ind w:left="360"/>
                    <w:rPr>
                      <w:sz w:val="24"/>
                      <w:szCs w:val="24"/>
                    </w:rPr>
                  </w:pPr>
                  <w:r w:rsidRPr="00CB5666">
                    <w:rPr>
                      <w:b/>
                      <w:sz w:val="24"/>
                      <w:szCs w:val="24"/>
                    </w:rPr>
                    <w:t xml:space="preserve">Transgender </w:t>
                  </w:r>
                  <w:r w:rsidRPr="00CB5666">
                    <w:rPr>
                      <w:sz w:val="24"/>
                      <w:szCs w:val="24"/>
                    </w:rPr>
                    <w:t xml:space="preserve">people look, behave, or act differently than the sex they were born into. </w:t>
                  </w:r>
                </w:p>
                <w:p w:rsidR="00447167" w:rsidRPr="00447167" w:rsidRDefault="00447167" w:rsidP="00CB5666">
                  <w:pPr>
                    <w:pStyle w:val="ListParagraph"/>
                    <w:spacing w:before="120"/>
                    <w:ind w:left="360"/>
                    <w:rPr>
                      <w:sz w:val="24"/>
                      <w:szCs w:val="24"/>
                    </w:rPr>
                  </w:pPr>
                </w:p>
                <w:p w:rsidR="00B717AE" w:rsidRPr="00CB5666" w:rsidRDefault="00B717AE" w:rsidP="00CB5666">
                  <w:pPr>
                    <w:pStyle w:val="ListParagraph"/>
                    <w:numPr>
                      <w:ilvl w:val="0"/>
                      <w:numId w:val="7"/>
                    </w:numPr>
                    <w:spacing w:before="120"/>
                    <w:ind w:left="360"/>
                    <w:rPr>
                      <w:sz w:val="24"/>
                      <w:szCs w:val="24"/>
                    </w:rPr>
                  </w:pPr>
                  <w:r w:rsidRPr="00CB5666">
                    <w:rPr>
                      <w:b/>
                      <w:sz w:val="24"/>
                      <w:szCs w:val="24"/>
                    </w:rPr>
                    <w:t>Gender identity</w:t>
                  </w:r>
                  <w:r w:rsidRPr="00CB5666">
                    <w:rPr>
                      <w:sz w:val="24"/>
                      <w:szCs w:val="24"/>
                    </w:rPr>
                    <w:t xml:space="preserve"> is whether a person feels male, female, or something else.</w:t>
                  </w:r>
                </w:p>
                <w:p w:rsidR="00447167" w:rsidRPr="00447167" w:rsidRDefault="00447167" w:rsidP="00CB5666">
                  <w:pPr>
                    <w:pStyle w:val="ListParagraph"/>
                    <w:spacing w:before="120"/>
                    <w:ind w:left="360"/>
                    <w:rPr>
                      <w:sz w:val="24"/>
                      <w:szCs w:val="24"/>
                    </w:rPr>
                  </w:pPr>
                </w:p>
                <w:p w:rsidR="00B717AE" w:rsidRPr="00CB5666" w:rsidRDefault="00B717AE" w:rsidP="00CB5666">
                  <w:pPr>
                    <w:pStyle w:val="ListParagraph"/>
                    <w:numPr>
                      <w:ilvl w:val="0"/>
                      <w:numId w:val="7"/>
                    </w:numPr>
                    <w:spacing w:before="120"/>
                    <w:ind w:left="360"/>
                    <w:rPr>
                      <w:sz w:val="24"/>
                      <w:szCs w:val="24"/>
                    </w:rPr>
                  </w:pPr>
                  <w:r w:rsidRPr="00CB5666">
                    <w:rPr>
                      <w:b/>
                      <w:sz w:val="24"/>
                      <w:szCs w:val="24"/>
                    </w:rPr>
                    <w:t>Gender expression</w:t>
                  </w:r>
                  <w:r w:rsidRPr="00CB5666">
                    <w:rPr>
                      <w:sz w:val="24"/>
                      <w:szCs w:val="24"/>
                    </w:rPr>
                    <w:t xml:space="preserve"> is how a person expresses their gender identity through behavior, clothing, hairstyles, or voice.</w:t>
                  </w:r>
                </w:p>
                <w:p w:rsidR="00447167" w:rsidRDefault="00447167" w:rsidP="00CB5666">
                  <w:pPr>
                    <w:pStyle w:val="ListParagraph"/>
                    <w:spacing w:before="120"/>
                    <w:ind w:left="360"/>
                    <w:rPr>
                      <w:sz w:val="24"/>
                      <w:szCs w:val="24"/>
                    </w:rPr>
                  </w:pPr>
                </w:p>
                <w:p w:rsidR="00447167" w:rsidRPr="00CB5666" w:rsidRDefault="00B717AE" w:rsidP="00CB5666">
                  <w:pPr>
                    <w:pStyle w:val="ListParagraph"/>
                    <w:numPr>
                      <w:ilvl w:val="0"/>
                      <w:numId w:val="7"/>
                    </w:numPr>
                    <w:spacing w:before="120"/>
                    <w:ind w:left="360"/>
                    <w:rPr>
                      <w:sz w:val="24"/>
                      <w:szCs w:val="24"/>
                    </w:rPr>
                  </w:pPr>
                  <w:r w:rsidRPr="00CB5666">
                    <w:rPr>
                      <w:sz w:val="24"/>
                      <w:szCs w:val="24"/>
                    </w:rPr>
                    <w:t>Some transgender people you will encounter have had surgery or take hormones to change their appearance, but many do not.</w:t>
                  </w:r>
                </w:p>
                <w:p w:rsidR="00B717AE" w:rsidRPr="008F0B41" w:rsidRDefault="00B717AE" w:rsidP="00CB5666">
                  <w:pPr>
                    <w:pStyle w:val="ListParagraph"/>
                    <w:spacing w:before="120"/>
                    <w:ind w:left="360" w:firstLine="60"/>
                    <w:rPr>
                      <w:sz w:val="24"/>
                      <w:szCs w:val="24"/>
                    </w:rPr>
                  </w:pPr>
                </w:p>
                <w:p w:rsidR="00B717AE" w:rsidRPr="00CB5666" w:rsidRDefault="00B717AE" w:rsidP="00CB5666">
                  <w:pPr>
                    <w:pStyle w:val="ListParagraph"/>
                    <w:numPr>
                      <w:ilvl w:val="0"/>
                      <w:numId w:val="7"/>
                    </w:numPr>
                    <w:spacing w:before="120"/>
                    <w:ind w:left="360"/>
                    <w:rPr>
                      <w:sz w:val="24"/>
                      <w:szCs w:val="24"/>
                    </w:rPr>
                  </w:pPr>
                  <w:r w:rsidRPr="00CB5666">
                    <w:rPr>
                      <w:sz w:val="24"/>
                      <w:szCs w:val="24"/>
                    </w:rPr>
                    <w:t xml:space="preserve">Sometimes it is hard to know the right thing to say in unfamiliar situations, like the first time we meet someone who is transgender. </w:t>
                  </w:r>
                  <w:r w:rsidR="008B7C61" w:rsidRPr="00CB5666">
                    <w:rPr>
                      <w:sz w:val="24"/>
                      <w:szCs w:val="24"/>
                    </w:rPr>
                    <w:t>Remember, we all want to be treated with respect.</w:t>
                  </w:r>
                </w:p>
                <w:p w:rsidR="00447167" w:rsidRPr="008F0B41" w:rsidRDefault="00447167" w:rsidP="00CB5666">
                  <w:pPr>
                    <w:pStyle w:val="ListParagraph"/>
                    <w:spacing w:before="120"/>
                    <w:ind w:left="360"/>
                    <w:rPr>
                      <w:sz w:val="24"/>
                      <w:szCs w:val="24"/>
                    </w:rPr>
                  </w:pPr>
                </w:p>
                <w:p w:rsidR="00B717AE" w:rsidRPr="00CB5666" w:rsidRDefault="00B717AE" w:rsidP="00CB5666">
                  <w:pPr>
                    <w:pStyle w:val="ListParagraph"/>
                    <w:numPr>
                      <w:ilvl w:val="0"/>
                      <w:numId w:val="7"/>
                    </w:numPr>
                    <w:spacing w:before="120"/>
                    <w:ind w:left="360"/>
                    <w:rPr>
                      <w:sz w:val="24"/>
                      <w:szCs w:val="24"/>
                    </w:rPr>
                  </w:pPr>
                  <w:r w:rsidRPr="00CB5666">
                    <w:rPr>
                      <w:sz w:val="24"/>
                      <w:szCs w:val="24"/>
                    </w:rPr>
                    <w:t>When you meet someone who is transgender, use the name and pronoun that they request. For example, if a fellow student was born male, but would like to be referred to by a female name and by the pronoun “her”, respect her wishes.</w:t>
                  </w:r>
                </w:p>
                <w:p w:rsidR="00B717AE" w:rsidRPr="00B750DE" w:rsidRDefault="00B717AE" w:rsidP="008B7C61">
                  <w:pPr>
                    <w:jc w:val="right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B750DE" w:rsidRPr="00B750DE" w:rsidRDefault="00CB5666" w:rsidP="00B750D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9.75pt;margin-top:16.8pt;width:401.55pt;height:51.75pt;z-index:251662336" fillcolor="black [3213]">
            <v:textbox>
              <w:txbxContent>
                <w:p w:rsidR="008F0B41" w:rsidRPr="00CB5666" w:rsidRDefault="008F0B41" w:rsidP="008F0B4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CB5666">
                    <w:rPr>
                      <w:b/>
                      <w:sz w:val="32"/>
                      <w:szCs w:val="32"/>
                    </w:rPr>
                    <w:t xml:space="preserve">Equal Access to the Job Corps Program for </w:t>
                  </w:r>
                  <w:r w:rsidRPr="00CB5666">
                    <w:rPr>
                      <w:b/>
                      <w:sz w:val="32"/>
                      <w:szCs w:val="32"/>
                    </w:rPr>
                    <w:br/>
                    <w:t>Transgender Applicants and Students</w:t>
                  </w:r>
                </w:p>
                <w:p w:rsidR="008F0B41" w:rsidRDefault="008F0B41"/>
              </w:txbxContent>
            </v:textbox>
          </v:shape>
        </w:pict>
      </w:r>
    </w:p>
    <w:p w:rsidR="008F0B41" w:rsidRDefault="008F0B41" w:rsidP="00AD1ADB">
      <w:pPr>
        <w:rPr>
          <w:sz w:val="24"/>
          <w:szCs w:val="24"/>
        </w:rPr>
      </w:pPr>
    </w:p>
    <w:p w:rsidR="008F0B41" w:rsidRDefault="008F0B41" w:rsidP="00AD1ADB">
      <w:pPr>
        <w:rPr>
          <w:sz w:val="24"/>
          <w:szCs w:val="24"/>
        </w:rPr>
      </w:pPr>
    </w:p>
    <w:p w:rsidR="00AD1ADB" w:rsidRPr="00B750DE" w:rsidRDefault="00AD1ADB" w:rsidP="00AD1ADB">
      <w:pPr>
        <w:rPr>
          <w:sz w:val="24"/>
          <w:szCs w:val="24"/>
        </w:rPr>
      </w:pPr>
      <w:r w:rsidRPr="00B750DE">
        <w:rPr>
          <w:sz w:val="24"/>
          <w:szCs w:val="24"/>
        </w:rPr>
        <w:t xml:space="preserve">Job Corps protects the rights of </w:t>
      </w:r>
      <w:r w:rsidRPr="00B750DE">
        <w:rPr>
          <w:b/>
          <w:sz w:val="24"/>
          <w:szCs w:val="24"/>
        </w:rPr>
        <w:t>all applicants and students</w:t>
      </w:r>
      <w:r w:rsidRPr="00B750DE">
        <w:rPr>
          <w:sz w:val="24"/>
          <w:szCs w:val="24"/>
        </w:rPr>
        <w:t xml:space="preserve"> and does not discriminate based on gender, race, disability, sexual orientation, or gender expression.</w:t>
      </w:r>
    </w:p>
    <w:p w:rsidR="00AD1ADB" w:rsidRPr="00B750DE" w:rsidRDefault="00AD1ADB" w:rsidP="00AD1ADB">
      <w:pPr>
        <w:rPr>
          <w:sz w:val="24"/>
          <w:szCs w:val="24"/>
        </w:rPr>
      </w:pPr>
      <w:r w:rsidRPr="00B750DE">
        <w:rPr>
          <w:sz w:val="24"/>
          <w:szCs w:val="24"/>
        </w:rPr>
        <w:t>Job Corps</w:t>
      </w:r>
      <w:r w:rsidRPr="008B7C61">
        <w:rPr>
          <w:sz w:val="24"/>
          <w:szCs w:val="24"/>
        </w:rPr>
        <w:t xml:space="preserve"> protects the civil rights</w:t>
      </w:r>
      <w:r w:rsidRPr="00B750DE">
        <w:rPr>
          <w:sz w:val="24"/>
          <w:szCs w:val="24"/>
        </w:rPr>
        <w:t xml:space="preserve"> of </w:t>
      </w:r>
      <w:r w:rsidRPr="008B7C61">
        <w:rPr>
          <w:b/>
          <w:sz w:val="24"/>
          <w:szCs w:val="24"/>
        </w:rPr>
        <w:t xml:space="preserve">transgender students </w:t>
      </w:r>
      <w:r w:rsidRPr="00B750DE">
        <w:rPr>
          <w:sz w:val="24"/>
          <w:szCs w:val="24"/>
        </w:rPr>
        <w:t>by:</w:t>
      </w:r>
      <w:r w:rsidR="007B033C" w:rsidRPr="00B750DE">
        <w:rPr>
          <w:b/>
          <w:noProof/>
          <w:sz w:val="24"/>
          <w:szCs w:val="24"/>
        </w:rPr>
        <w:t xml:space="preserve"> </w:t>
      </w:r>
    </w:p>
    <w:p w:rsidR="00EB5526" w:rsidRPr="00B750DE" w:rsidRDefault="00EB5526" w:rsidP="00CB5666">
      <w:pPr>
        <w:pStyle w:val="ListParagraph"/>
        <w:numPr>
          <w:ilvl w:val="0"/>
          <w:numId w:val="6"/>
        </w:numPr>
        <w:ind w:left="540"/>
        <w:rPr>
          <w:sz w:val="24"/>
          <w:szCs w:val="24"/>
        </w:rPr>
      </w:pPr>
      <w:r w:rsidRPr="00B750DE">
        <w:rPr>
          <w:sz w:val="24"/>
          <w:szCs w:val="24"/>
        </w:rPr>
        <w:t>Us</w:t>
      </w:r>
      <w:r w:rsidR="00553C77" w:rsidRPr="00B750DE">
        <w:rPr>
          <w:sz w:val="24"/>
          <w:szCs w:val="24"/>
        </w:rPr>
        <w:t>ing</w:t>
      </w:r>
      <w:r w:rsidRPr="00B750DE">
        <w:rPr>
          <w:sz w:val="24"/>
          <w:szCs w:val="24"/>
        </w:rPr>
        <w:t xml:space="preserve"> the appropriate </w:t>
      </w:r>
      <w:r w:rsidRPr="00B750DE">
        <w:rPr>
          <w:b/>
          <w:bCs/>
          <w:sz w:val="24"/>
          <w:szCs w:val="24"/>
        </w:rPr>
        <w:t>names</w:t>
      </w:r>
      <w:r w:rsidR="008B7C61">
        <w:rPr>
          <w:b/>
          <w:bCs/>
          <w:sz w:val="24"/>
          <w:szCs w:val="24"/>
        </w:rPr>
        <w:t xml:space="preserve"> and</w:t>
      </w:r>
      <w:r w:rsidRPr="00B750DE">
        <w:rPr>
          <w:b/>
          <w:bCs/>
          <w:sz w:val="24"/>
          <w:szCs w:val="24"/>
        </w:rPr>
        <w:t xml:space="preserve"> pronouns </w:t>
      </w:r>
    </w:p>
    <w:p w:rsidR="00EB5526" w:rsidRPr="00B750DE" w:rsidRDefault="00EB5526" w:rsidP="00CB5666">
      <w:pPr>
        <w:pStyle w:val="ListParagraph"/>
        <w:numPr>
          <w:ilvl w:val="0"/>
          <w:numId w:val="6"/>
        </w:numPr>
        <w:ind w:left="540"/>
        <w:rPr>
          <w:sz w:val="24"/>
          <w:szCs w:val="24"/>
        </w:rPr>
      </w:pPr>
      <w:r w:rsidRPr="00B750DE">
        <w:rPr>
          <w:sz w:val="24"/>
          <w:szCs w:val="24"/>
        </w:rPr>
        <w:t>Allow</w:t>
      </w:r>
      <w:r w:rsidR="00553C77" w:rsidRPr="00B750DE">
        <w:rPr>
          <w:sz w:val="24"/>
          <w:szCs w:val="24"/>
        </w:rPr>
        <w:t>ing</w:t>
      </w:r>
      <w:r w:rsidRPr="00B750DE">
        <w:rPr>
          <w:sz w:val="24"/>
          <w:szCs w:val="24"/>
        </w:rPr>
        <w:t xml:space="preserve"> transgender applicants’ and students’ </w:t>
      </w:r>
      <w:r w:rsidRPr="00B750DE">
        <w:rPr>
          <w:b/>
          <w:bCs/>
          <w:sz w:val="24"/>
          <w:szCs w:val="24"/>
        </w:rPr>
        <w:t xml:space="preserve">dress and appearance </w:t>
      </w:r>
      <w:r w:rsidRPr="00B750DE">
        <w:rPr>
          <w:sz w:val="24"/>
          <w:szCs w:val="24"/>
        </w:rPr>
        <w:t>to be consistent with their gender identity</w:t>
      </w:r>
    </w:p>
    <w:p w:rsidR="00EB5526" w:rsidRPr="00B750DE" w:rsidRDefault="00553C77" w:rsidP="00CB5666">
      <w:pPr>
        <w:pStyle w:val="ListParagraph"/>
        <w:numPr>
          <w:ilvl w:val="0"/>
          <w:numId w:val="6"/>
        </w:numPr>
        <w:ind w:left="540"/>
        <w:rPr>
          <w:sz w:val="24"/>
          <w:szCs w:val="24"/>
        </w:rPr>
      </w:pPr>
      <w:r w:rsidRPr="00B750DE">
        <w:rPr>
          <w:sz w:val="24"/>
          <w:szCs w:val="24"/>
        </w:rPr>
        <w:t>Collaborating</w:t>
      </w:r>
      <w:r w:rsidR="00EB5526" w:rsidRPr="00B750DE">
        <w:rPr>
          <w:sz w:val="24"/>
          <w:szCs w:val="24"/>
        </w:rPr>
        <w:t xml:space="preserve"> with transgender applicants and students on decisions about </w:t>
      </w:r>
      <w:r w:rsidR="00EB5526" w:rsidRPr="00B750DE">
        <w:rPr>
          <w:b/>
          <w:bCs/>
          <w:sz w:val="24"/>
          <w:szCs w:val="24"/>
        </w:rPr>
        <w:t>housing, restroom, and shower access</w:t>
      </w:r>
    </w:p>
    <w:p w:rsidR="00EB5526" w:rsidRPr="00B750DE" w:rsidRDefault="00EB5526" w:rsidP="00CB5666">
      <w:pPr>
        <w:pStyle w:val="ListParagraph"/>
        <w:numPr>
          <w:ilvl w:val="0"/>
          <w:numId w:val="6"/>
        </w:numPr>
        <w:ind w:left="540"/>
        <w:rPr>
          <w:sz w:val="24"/>
          <w:szCs w:val="24"/>
        </w:rPr>
      </w:pPr>
      <w:r w:rsidRPr="00B750DE">
        <w:rPr>
          <w:sz w:val="24"/>
          <w:szCs w:val="24"/>
        </w:rPr>
        <w:t>Protect</w:t>
      </w:r>
      <w:r w:rsidR="00553C77" w:rsidRPr="00B750DE">
        <w:rPr>
          <w:sz w:val="24"/>
          <w:szCs w:val="24"/>
        </w:rPr>
        <w:t>ing</w:t>
      </w:r>
      <w:r w:rsidRPr="00B750DE">
        <w:rPr>
          <w:sz w:val="24"/>
          <w:szCs w:val="24"/>
        </w:rPr>
        <w:t xml:space="preserve"> </w:t>
      </w:r>
      <w:bookmarkStart w:id="0" w:name="_GoBack"/>
      <w:bookmarkEnd w:id="0"/>
      <w:r w:rsidRPr="00B750DE">
        <w:rPr>
          <w:sz w:val="24"/>
          <w:szCs w:val="24"/>
        </w:rPr>
        <w:t xml:space="preserve">transgender applicants’ and students’ privacy by limiting </w:t>
      </w:r>
      <w:r w:rsidRPr="00B750DE">
        <w:rPr>
          <w:b/>
          <w:bCs/>
          <w:sz w:val="24"/>
          <w:szCs w:val="24"/>
        </w:rPr>
        <w:t xml:space="preserve">disclosure of transgender status </w:t>
      </w:r>
    </w:p>
    <w:p w:rsidR="00EB5526" w:rsidRPr="00B750DE" w:rsidRDefault="00553C77" w:rsidP="00CB5666">
      <w:pPr>
        <w:pStyle w:val="ListParagraph"/>
        <w:numPr>
          <w:ilvl w:val="0"/>
          <w:numId w:val="6"/>
        </w:numPr>
        <w:ind w:left="540"/>
        <w:rPr>
          <w:sz w:val="24"/>
          <w:szCs w:val="24"/>
        </w:rPr>
      </w:pPr>
      <w:r w:rsidRPr="00B750DE">
        <w:rPr>
          <w:sz w:val="24"/>
          <w:szCs w:val="24"/>
        </w:rPr>
        <w:t>Providing</w:t>
      </w:r>
      <w:r w:rsidR="00EB5526" w:rsidRPr="00B750DE">
        <w:rPr>
          <w:sz w:val="24"/>
          <w:szCs w:val="24"/>
        </w:rPr>
        <w:t xml:space="preserve"> appropriate care for transgender students during </w:t>
      </w:r>
      <w:r w:rsidR="00EB5526" w:rsidRPr="00B750DE">
        <w:rPr>
          <w:b/>
          <w:bCs/>
          <w:sz w:val="24"/>
          <w:szCs w:val="24"/>
        </w:rPr>
        <w:t>entrance physical examinations and  for medical issues</w:t>
      </w:r>
    </w:p>
    <w:p w:rsidR="00EB5526" w:rsidRPr="00B750DE" w:rsidRDefault="004D4393" w:rsidP="00CB5666">
      <w:pPr>
        <w:pStyle w:val="ListParagraph"/>
        <w:numPr>
          <w:ilvl w:val="0"/>
          <w:numId w:val="6"/>
        </w:numPr>
        <w:ind w:left="540"/>
        <w:rPr>
          <w:sz w:val="24"/>
          <w:szCs w:val="24"/>
        </w:rPr>
      </w:pPr>
      <w:r w:rsidRPr="00B750D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346075</wp:posOffset>
            </wp:positionH>
            <wp:positionV relativeFrom="paragraph">
              <wp:posOffset>1246505</wp:posOffset>
            </wp:positionV>
            <wp:extent cx="3392805" cy="1637665"/>
            <wp:effectExtent l="19050" t="0" r="0" b="0"/>
            <wp:wrapTopAndBottom/>
            <wp:docPr id="10" name="Picture 1" descr="C:\Users\jluht\AppData\Local\Microsoft\Windows\Temporary Internet Files\Content.IE5\LA44PHNN\teen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uht\AppData\Local\Microsoft\Windows\Temporary Internet Files\Content.IE5\LA44PHNN\teen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0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C77" w:rsidRPr="00B750DE">
        <w:rPr>
          <w:sz w:val="24"/>
          <w:szCs w:val="24"/>
        </w:rPr>
        <w:t>Ensuring</w:t>
      </w:r>
      <w:r w:rsidR="00EB5526" w:rsidRPr="00B750DE">
        <w:rPr>
          <w:sz w:val="24"/>
          <w:szCs w:val="24"/>
        </w:rPr>
        <w:t xml:space="preserve"> that transgender students are supported in </w:t>
      </w:r>
      <w:r w:rsidR="00EB5526" w:rsidRPr="00B750DE">
        <w:rPr>
          <w:b/>
          <w:bCs/>
          <w:sz w:val="24"/>
          <w:szCs w:val="24"/>
        </w:rPr>
        <w:t xml:space="preserve">moving from Job Corps to the workforce </w:t>
      </w:r>
    </w:p>
    <w:p w:rsidR="00EB5526" w:rsidRPr="00B750DE" w:rsidRDefault="00553C77" w:rsidP="00CB5666">
      <w:pPr>
        <w:pStyle w:val="ListParagraph"/>
        <w:numPr>
          <w:ilvl w:val="0"/>
          <w:numId w:val="6"/>
        </w:numPr>
        <w:ind w:left="540"/>
        <w:rPr>
          <w:sz w:val="24"/>
          <w:szCs w:val="24"/>
        </w:rPr>
      </w:pPr>
      <w:r w:rsidRPr="00B750DE">
        <w:rPr>
          <w:sz w:val="24"/>
          <w:szCs w:val="24"/>
        </w:rPr>
        <w:t>Providing</w:t>
      </w:r>
      <w:r w:rsidR="00EB5526" w:rsidRPr="00B750DE">
        <w:rPr>
          <w:sz w:val="24"/>
          <w:szCs w:val="24"/>
        </w:rPr>
        <w:t xml:space="preserve"> appropriate </w:t>
      </w:r>
      <w:r w:rsidR="00EB5526" w:rsidRPr="00B750DE">
        <w:rPr>
          <w:b/>
          <w:bCs/>
          <w:sz w:val="24"/>
          <w:szCs w:val="24"/>
        </w:rPr>
        <w:t>student and staff training</w:t>
      </w:r>
      <w:r w:rsidR="00EB5526" w:rsidRPr="00B750DE">
        <w:rPr>
          <w:sz w:val="24"/>
          <w:szCs w:val="24"/>
        </w:rPr>
        <w:t xml:space="preserve"> for the entire Job Corps community</w:t>
      </w:r>
    </w:p>
    <w:p w:rsidR="004D4393" w:rsidRPr="00B750DE" w:rsidRDefault="004D4393" w:rsidP="00553C77">
      <w:pPr>
        <w:rPr>
          <w:sz w:val="24"/>
          <w:szCs w:val="24"/>
        </w:rPr>
      </w:pPr>
    </w:p>
    <w:p w:rsidR="007B033C" w:rsidRPr="00B750DE" w:rsidRDefault="00553C77" w:rsidP="00553C77">
      <w:pPr>
        <w:rPr>
          <w:sz w:val="24"/>
          <w:szCs w:val="24"/>
        </w:rPr>
      </w:pPr>
      <w:r w:rsidRPr="00B750DE">
        <w:rPr>
          <w:sz w:val="24"/>
          <w:szCs w:val="24"/>
        </w:rPr>
        <w:t xml:space="preserve">If you have any questions about how Job Corps protects the rights of transgender students, contact the center’s </w:t>
      </w:r>
      <w:r w:rsidRPr="00B750DE">
        <w:rPr>
          <w:b/>
          <w:sz w:val="24"/>
          <w:szCs w:val="24"/>
        </w:rPr>
        <w:t>Equal Opportunity Officer</w:t>
      </w:r>
      <w:r w:rsidRPr="00B750DE">
        <w:rPr>
          <w:sz w:val="24"/>
          <w:szCs w:val="24"/>
        </w:rPr>
        <w:t xml:space="preserve">. </w:t>
      </w:r>
    </w:p>
    <w:p w:rsidR="00B750DE" w:rsidRPr="00B750DE" w:rsidRDefault="00B750DE">
      <w:pPr>
        <w:rPr>
          <w:sz w:val="24"/>
          <w:szCs w:val="24"/>
        </w:rPr>
      </w:pPr>
    </w:p>
    <w:sectPr w:rsidR="00B750DE" w:rsidRPr="00B750DE" w:rsidSect="00B750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2A2"/>
    <w:multiLevelType w:val="hybridMultilevel"/>
    <w:tmpl w:val="FD32FC3C"/>
    <w:lvl w:ilvl="0" w:tplc="28742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16A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96A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84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BAB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C24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689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A42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140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D72877"/>
    <w:multiLevelType w:val="hybridMultilevel"/>
    <w:tmpl w:val="19E8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03D8"/>
    <w:multiLevelType w:val="hybridMultilevel"/>
    <w:tmpl w:val="6A360368"/>
    <w:lvl w:ilvl="0" w:tplc="0B622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14E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380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2ED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C0D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0F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9C5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AAE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A23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1933FE"/>
    <w:multiLevelType w:val="hybridMultilevel"/>
    <w:tmpl w:val="CB32CC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723A1"/>
    <w:multiLevelType w:val="hybridMultilevel"/>
    <w:tmpl w:val="1AC4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96340"/>
    <w:multiLevelType w:val="hybridMultilevel"/>
    <w:tmpl w:val="C010D6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66261"/>
    <w:multiLevelType w:val="hybridMultilevel"/>
    <w:tmpl w:val="C1F8B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1ADB"/>
    <w:rsid w:val="000E47F4"/>
    <w:rsid w:val="001D43F3"/>
    <w:rsid w:val="002C3CC3"/>
    <w:rsid w:val="00347A1B"/>
    <w:rsid w:val="00447167"/>
    <w:rsid w:val="004D4393"/>
    <w:rsid w:val="00553C77"/>
    <w:rsid w:val="005C14C1"/>
    <w:rsid w:val="007B033C"/>
    <w:rsid w:val="007F774F"/>
    <w:rsid w:val="008B522E"/>
    <w:rsid w:val="008B7C61"/>
    <w:rsid w:val="008F0B41"/>
    <w:rsid w:val="00940AF1"/>
    <w:rsid w:val="00947BC6"/>
    <w:rsid w:val="00AD1ADB"/>
    <w:rsid w:val="00B717AE"/>
    <w:rsid w:val="00B750DE"/>
    <w:rsid w:val="00BE1E11"/>
    <w:rsid w:val="00BF55B9"/>
    <w:rsid w:val="00CB5666"/>
    <w:rsid w:val="00D32CA3"/>
    <w:rsid w:val="00DF5985"/>
    <w:rsid w:val="00EA6687"/>
    <w:rsid w:val="00EB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DACB730E-6327-4A88-A621-85A3C1CD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90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9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0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XRUYQT3274NZ-681238054-1159</_dlc_DocId>
    <_dlc_DocIdUrl xmlns="b22f8f74-215c-4154-9939-bd29e4e8980e">
      <Url>https://supportservices.jobcorps.gov/health/_layouts/15/DocIdRedir.aspx?ID=XRUYQT3274NZ-681238054-1159</Url>
      <Description>XRUYQT3274NZ-681238054-1159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B4F9AA8-0263-4963-BC68-DE0952B98FEB}"/>
</file>

<file path=customXml/itemProps2.xml><?xml version="1.0" encoding="utf-8"?>
<ds:datastoreItem xmlns:ds="http://schemas.openxmlformats.org/officeDocument/2006/customXml" ds:itemID="{B4A4293B-9CC7-4C64-913D-5D8628AB99C3}"/>
</file>

<file path=customXml/itemProps3.xml><?xml version="1.0" encoding="utf-8"?>
<ds:datastoreItem xmlns:ds="http://schemas.openxmlformats.org/officeDocument/2006/customXml" ds:itemID="{FC4E8F41-6063-4BB7-B8A1-ACBC10AAD673}"/>
</file>

<file path=customXml/itemProps4.xml><?xml version="1.0" encoding="utf-8"?>
<ds:datastoreItem xmlns:ds="http://schemas.openxmlformats.org/officeDocument/2006/customXml" ds:itemID="{30D4308F-8024-4E7A-A034-EFD46EE19989}"/>
</file>

<file path=customXml/itemProps5.xml><?xml version="1.0" encoding="utf-8"?>
<ds:datastoreItem xmlns:ds="http://schemas.openxmlformats.org/officeDocument/2006/customXml" ds:itemID="{3965DF5E-9FC6-426D-8A61-B5ED7AC4AA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Access to the Job Corps Program for Transgender Applicants and Students</dc:title>
  <dc:creator>jluht</dc:creator>
  <cp:lastModifiedBy>Carolina Valdenegro</cp:lastModifiedBy>
  <cp:revision>13</cp:revision>
  <cp:lastPrinted>2015-05-22T14:52:00Z</cp:lastPrinted>
  <dcterms:created xsi:type="dcterms:W3CDTF">2015-05-07T11:55:00Z</dcterms:created>
  <dcterms:modified xsi:type="dcterms:W3CDTF">2015-05-22T15:00:00Z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aa522b5a-c1f1-47d4-baa7-bd77b9d7b8ea</vt:lpwstr>
  </property>
</Properties>
</file>