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048CB" w14:textId="77777777" w:rsidR="008B09BC" w:rsidRPr="00CD4933" w:rsidRDefault="008B09BC" w:rsidP="00BD11A3">
      <w:pPr>
        <w:pStyle w:val="BodyText"/>
        <w:shd w:val="clear" w:color="auto" w:fill="D9D9D9"/>
        <w:jc w:val="center"/>
        <w:rPr>
          <w:b/>
          <w:bCs w:val="0"/>
          <w:sz w:val="22"/>
          <w:szCs w:val="22"/>
        </w:rPr>
      </w:pPr>
      <w:r w:rsidRPr="00CD4933">
        <w:rPr>
          <w:b/>
          <w:bCs w:val="0"/>
          <w:sz w:val="22"/>
          <w:szCs w:val="22"/>
        </w:rPr>
        <w:t>TREATMENT GUIDELINES FOR HEALTH STAFF</w:t>
      </w:r>
    </w:p>
    <w:p w14:paraId="20054DD1" w14:textId="77777777" w:rsidR="008B09BC" w:rsidRPr="00CD4933" w:rsidRDefault="00BD11A3" w:rsidP="00BD11A3">
      <w:pPr>
        <w:pStyle w:val="BodyText"/>
        <w:shd w:val="clear" w:color="auto" w:fill="D9D9D9"/>
        <w:tabs>
          <w:tab w:val="left" w:pos="5238"/>
        </w:tabs>
        <w:rPr>
          <w:b/>
          <w:bCs w:val="0"/>
          <w:sz w:val="22"/>
          <w:szCs w:val="22"/>
        </w:rPr>
      </w:pPr>
      <w:r w:rsidRPr="00CD4933">
        <w:rPr>
          <w:b/>
          <w:bCs w:val="0"/>
          <w:sz w:val="22"/>
          <w:szCs w:val="22"/>
        </w:rPr>
        <w:tab/>
      </w:r>
    </w:p>
    <w:p w14:paraId="06871C01" w14:textId="77777777" w:rsidR="008B09BC" w:rsidRPr="00CD4933" w:rsidRDefault="008B09BC" w:rsidP="00BD11A3">
      <w:pPr>
        <w:pStyle w:val="BodyText"/>
        <w:shd w:val="clear" w:color="auto" w:fill="D9D9D9"/>
        <w:jc w:val="center"/>
        <w:rPr>
          <w:b/>
          <w:sz w:val="22"/>
          <w:szCs w:val="22"/>
        </w:rPr>
      </w:pPr>
      <w:r w:rsidRPr="00CD4933">
        <w:rPr>
          <w:b/>
          <w:bCs w:val="0"/>
          <w:sz w:val="22"/>
          <w:szCs w:val="22"/>
        </w:rPr>
        <w:t>PELVIC INFLAMMATORY DISEASE (PID)</w:t>
      </w:r>
    </w:p>
    <w:p w14:paraId="0849F403" w14:textId="77777777" w:rsidR="008B09BC" w:rsidRPr="00CD4933" w:rsidRDefault="008B09BC" w:rsidP="008B09BC">
      <w:pPr>
        <w:pStyle w:val="BodyText"/>
        <w:rPr>
          <w:sz w:val="22"/>
          <w:szCs w:val="22"/>
        </w:rPr>
      </w:pPr>
    </w:p>
    <w:p w14:paraId="1822B98F" w14:textId="77777777" w:rsidR="008B09BC" w:rsidRPr="00CD4933" w:rsidRDefault="008B09BC" w:rsidP="008B09BC">
      <w:pPr>
        <w:rPr>
          <w:sz w:val="22"/>
          <w:szCs w:val="22"/>
        </w:rPr>
      </w:pPr>
      <w:r w:rsidRPr="00CD4933">
        <w:rPr>
          <w:sz w:val="22"/>
          <w:szCs w:val="22"/>
        </w:rPr>
        <w:t>Authorized health and wellness staff may treat clinically confirmed pelvic inflammatory disease as follows:</w:t>
      </w:r>
    </w:p>
    <w:p w14:paraId="07356BB5" w14:textId="77777777" w:rsidR="008B09BC" w:rsidRPr="00CD4933" w:rsidRDefault="008B09BC" w:rsidP="008B09BC">
      <w:pPr>
        <w:rPr>
          <w:sz w:val="22"/>
          <w:szCs w:val="22"/>
        </w:rPr>
      </w:pPr>
    </w:p>
    <w:p w14:paraId="2771C08B" w14:textId="201B52C3" w:rsidR="003354A8" w:rsidRPr="00CD4933" w:rsidRDefault="003354A8" w:rsidP="008B09BC">
      <w:pPr>
        <w:pStyle w:val="BodyText2"/>
        <w:numPr>
          <w:ilvl w:val="0"/>
          <w:numId w:val="49"/>
        </w:numPr>
        <w:spacing w:after="0" w:line="240" w:lineRule="auto"/>
        <w:rPr>
          <w:bCs w:val="0"/>
          <w:sz w:val="22"/>
          <w:szCs w:val="22"/>
        </w:rPr>
      </w:pPr>
      <w:r w:rsidRPr="00CD4933">
        <w:rPr>
          <w:bCs w:val="0"/>
          <w:sz w:val="22"/>
          <w:szCs w:val="22"/>
        </w:rPr>
        <w:t xml:space="preserve">Ensure that laboratory specimens have been sent for </w:t>
      </w:r>
      <w:r w:rsidR="00340742">
        <w:rPr>
          <w:bCs w:val="0"/>
          <w:sz w:val="22"/>
          <w:szCs w:val="22"/>
        </w:rPr>
        <w:t>c</w:t>
      </w:r>
      <w:r w:rsidR="00340742" w:rsidRPr="00CD4933">
        <w:rPr>
          <w:bCs w:val="0"/>
          <w:sz w:val="22"/>
          <w:szCs w:val="22"/>
        </w:rPr>
        <w:t xml:space="preserve">hlamydia </w:t>
      </w:r>
      <w:r w:rsidRPr="00CD4933">
        <w:rPr>
          <w:bCs w:val="0"/>
          <w:sz w:val="22"/>
          <w:szCs w:val="22"/>
        </w:rPr>
        <w:t>and gonorrhea testing.</w:t>
      </w:r>
      <w:r w:rsidR="004226C3" w:rsidRPr="00CD4933">
        <w:rPr>
          <w:bCs w:val="0"/>
          <w:sz w:val="22"/>
          <w:szCs w:val="22"/>
        </w:rPr>
        <w:t xml:space="preserve">  Do not wait for results prior to starting treatment. Over 50% of diagnosed PID </w:t>
      </w:r>
      <w:r w:rsidR="00482EE7">
        <w:rPr>
          <w:bCs w:val="0"/>
          <w:sz w:val="22"/>
          <w:szCs w:val="22"/>
        </w:rPr>
        <w:t>tests</w:t>
      </w:r>
      <w:r w:rsidR="00482EE7" w:rsidRPr="00CD4933">
        <w:rPr>
          <w:bCs w:val="0"/>
          <w:sz w:val="22"/>
          <w:szCs w:val="22"/>
        </w:rPr>
        <w:t xml:space="preserve"> </w:t>
      </w:r>
      <w:r w:rsidR="004226C3" w:rsidRPr="00CD4933">
        <w:rPr>
          <w:bCs w:val="0"/>
          <w:sz w:val="22"/>
          <w:szCs w:val="22"/>
        </w:rPr>
        <w:t xml:space="preserve">negative for </w:t>
      </w:r>
      <w:r w:rsidR="00340742">
        <w:rPr>
          <w:bCs w:val="0"/>
          <w:sz w:val="22"/>
          <w:szCs w:val="22"/>
        </w:rPr>
        <w:t>c</w:t>
      </w:r>
      <w:r w:rsidR="00340742" w:rsidRPr="00CD4933">
        <w:rPr>
          <w:bCs w:val="0"/>
          <w:sz w:val="22"/>
          <w:szCs w:val="22"/>
        </w:rPr>
        <w:t xml:space="preserve">hlamydia </w:t>
      </w:r>
      <w:r w:rsidR="004226C3" w:rsidRPr="00CD4933">
        <w:rPr>
          <w:bCs w:val="0"/>
          <w:sz w:val="22"/>
          <w:szCs w:val="22"/>
        </w:rPr>
        <w:t xml:space="preserve">and gonorrhea. </w:t>
      </w:r>
    </w:p>
    <w:p w14:paraId="51F45A67" w14:textId="77777777" w:rsidR="003354A8" w:rsidRPr="00CD4933" w:rsidRDefault="003354A8" w:rsidP="003354A8">
      <w:pPr>
        <w:pStyle w:val="BodyText2"/>
        <w:spacing w:after="0" w:line="240" w:lineRule="auto"/>
        <w:rPr>
          <w:bCs w:val="0"/>
          <w:sz w:val="22"/>
          <w:szCs w:val="22"/>
        </w:rPr>
      </w:pPr>
    </w:p>
    <w:p w14:paraId="263D0D51" w14:textId="5EA5CCD3" w:rsidR="00490C07" w:rsidRPr="00CD4933" w:rsidRDefault="008B09BC" w:rsidP="00102E77">
      <w:pPr>
        <w:pStyle w:val="BodyText2"/>
        <w:numPr>
          <w:ilvl w:val="0"/>
          <w:numId w:val="49"/>
        </w:numPr>
        <w:spacing w:after="0" w:line="240" w:lineRule="auto"/>
        <w:rPr>
          <w:bCs w:val="0"/>
          <w:sz w:val="22"/>
          <w:szCs w:val="22"/>
        </w:rPr>
      </w:pPr>
      <w:r w:rsidRPr="00CD4933">
        <w:rPr>
          <w:bCs w:val="0"/>
          <w:sz w:val="22"/>
          <w:szCs w:val="22"/>
        </w:rPr>
        <w:t xml:space="preserve">Administer </w:t>
      </w:r>
      <w:r w:rsidR="00F04D4A" w:rsidRPr="00CD4933">
        <w:rPr>
          <w:bCs w:val="0"/>
          <w:sz w:val="22"/>
          <w:szCs w:val="22"/>
        </w:rPr>
        <w:t>one</w:t>
      </w:r>
      <w:r w:rsidR="00490C07" w:rsidRPr="00CD4933">
        <w:rPr>
          <w:bCs w:val="0"/>
          <w:sz w:val="22"/>
          <w:szCs w:val="22"/>
        </w:rPr>
        <w:t xml:space="preserve"> of following</w:t>
      </w:r>
      <w:r w:rsidR="00873E80">
        <w:rPr>
          <w:bCs w:val="0"/>
          <w:sz w:val="22"/>
          <w:szCs w:val="22"/>
        </w:rPr>
        <w:t xml:space="preserve"> combined</w:t>
      </w:r>
      <w:r w:rsidR="00490C07" w:rsidRPr="00CD4933">
        <w:rPr>
          <w:bCs w:val="0"/>
          <w:sz w:val="22"/>
          <w:szCs w:val="22"/>
        </w:rPr>
        <w:t xml:space="preserve"> </w:t>
      </w:r>
      <w:r w:rsidR="00873E80">
        <w:rPr>
          <w:bCs w:val="0"/>
          <w:sz w:val="22"/>
          <w:szCs w:val="22"/>
        </w:rPr>
        <w:t xml:space="preserve">intramuscular and oral </w:t>
      </w:r>
      <w:r w:rsidR="00490C07" w:rsidRPr="00CD4933">
        <w:rPr>
          <w:bCs w:val="0"/>
          <w:sz w:val="22"/>
          <w:szCs w:val="22"/>
        </w:rPr>
        <w:t>options:</w:t>
      </w:r>
    </w:p>
    <w:p w14:paraId="0F34A57C" w14:textId="77777777" w:rsidR="00490C07" w:rsidRPr="00CD4933" w:rsidRDefault="00490C07" w:rsidP="00F04D4A">
      <w:pPr>
        <w:pStyle w:val="ListParagraph"/>
        <w:rPr>
          <w:bCs w:val="0"/>
          <w:sz w:val="22"/>
          <w:szCs w:val="22"/>
        </w:rPr>
      </w:pPr>
    </w:p>
    <w:p w14:paraId="71BD3D57" w14:textId="06676038" w:rsidR="00490C07" w:rsidRPr="00CD4933" w:rsidRDefault="008B09BC" w:rsidP="00576BEE">
      <w:pPr>
        <w:pStyle w:val="BodyText2"/>
        <w:numPr>
          <w:ilvl w:val="0"/>
          <w:numId w:val="52"/>
        </w:numPr>
        <w:spacing w:after="0" w:line="240" w:lineRule="auto"/>
        <w:rPr>
          <w:bCs w:val="0"/>
          <w:sz w:val="22"/>
          <w:szCs w:val="22"/>
        </w:rPr>
      </w:pPr>
      <w:r w:rsidRPr="00CD4933">
        <w:rPr>
          <w:bCs w:val="0"/>
          <w:sz w:val="22"/>
          <w:szCs w:val="22"/>
        </w:rPr>
        <w:t xml:space="preserve">ceftriaxone </w:t>
      </w:r>
      <w:r w:rsidR="00873E80">
        <w:rPr>
          <w:bCs w:val="0"/>
          <w:sz w:val="22"/>
          <w:szCs w:val="22"/>
        </w:rPr>
        <w:t>500</w:t>
      </w:r>
      <w:r w:rsidR="00E003F9">
        <w:rPr>
          <w:bCs w:val="0"/>
          <w:sz w:val="22"/>
          <w:szCs w:val="22"/>
        </w:rPr>
        <w:t xml:space="preserve"> </w:t>
      </w:r>
      <w:r w:rsidR="00873E80">
        <w:rPr>
          <w:bCs w:val="0"/>
          <w:sz w:val="22"/>
          <w:szCs w:val="22"/>
        </w:rPr>
        <w:t>m</w:t>
      </w:r>
      <w:r w:rsidR="00E003F9">
        <w:rPr>
          <w:bCs w:val="0"/>
          <w:sz w:val="22"/>
          <w:szCs w:val="22"/>
        </w:rPr>
        <w:t>g</w:t>
      </w:r>
      <w:r w:rsidRPr="00CD4933">
        <w:rPr>
          <w:bCs w:val="0"/>
          <w:sz w:val="22"/>
          <w:szCs w:val="22"/>
        </w:rPr>
        <w:t xml:space="preserve"> IM</w:t>
      </w:r>
      <w:r w:rsidR="003D06D2">
        <w:rPr>
          <w:bCs w:val="0"/>
          <w:sz w:val="22"/>
          <w:szCs w:val="22"/>
        </w:rPr>
        <w:t>*</w:t>
      </w:r>
      <w:r w:rsidRPr="00CD4933">
        <w:rPr>
          <w:bCs w:val="0"/>
          <w:sz w:val="22"/>
          <w:szCs w:val="22"/>
        </w:rPr>
        <w:t xml:space="preserve"> in a single dose plus doxycycline</w:t>
      </w:r>
      <w:r w:rsidR="00A6420A" w:rsidRPr="00CD4933">
        <w:rPr>
          <w:bCs w:val="0"/>
          <w:sz w:val="22"/>
          <w:szCs w:val="22"/>
        </w:rPr>
        <w:t>*</w:t>
      </w:r>
      <w:r w:rsidR="003D06D2">
        <w:rPr>
          <w:bCs w:val="0"/>
          <w:sz w:val="22"/>
          <w:szCs w:val="22"/>
        </w:rPr>
        <w:t>*</w:t>
      </w:r>
      <w:r w:rsidRPr="00CD4933">
        <w:rPr>
          <w:bCs w:val="0"/>
          <w:sz w:val="22"/>
          <w:szCs w:val="22"/>
        </w:rPr>
        <w:t xml:space="preserve"> 100 mg po </w:t>
      </w:r>
      <w:r w:rsidR="009F702B">
        <w:rPr>
          <w:bCs w:val="0"/>
          <w:sz w:val="22"/>
          <w:szCs w:val="22"/>
        </w:rPr>
        <w:t>twice daily</w:t>
      </w:r>
      <w:r w:rsidRPr="00CD4933">
        <w:rPr>
          <w:bCs w:val="0"/>
          <w:sz w:val="22"/>
          <w:szCs w:val="22"/>
        </w:rPr>
        <w:t xml:space="preserve"> for 14 days</w:t>
      </w:r>
      <w:r w:rsidR="003354A8" w:rsidRPr="00CD4933">
        <w:rPr>
          <w:bCs w:val="0"/>
          <w:sz w:val="22"/>
          <w:szCs w:val="22"/>
        </w:rPr>
        <w:t xml:space="preserve"> </w:t>
      </w:r>
      <w:r w:rsidR="00873E80">
        <w:rPr>
          <w:bCs w:val="0"/>
          <w:sz w:val="22"/>
          <w:szCs w:val="22"/>
          <w:u w:val="single"/>
        </w:rPr>
        <w:t>with</w:t>
      </w:r>
      <w:r w:rsidR="003354A8" w:rsidRPr="00CD4933">
        <w:rPr>
          <w:bCs w:val="0"/>
          <w:sz w:val="22"/>
          <w:szCs w:val="22"/>
        </w:rPr>
        <w:t xml:space="preserve"> metronidazole 500 mg po </w:t>
      </w:r>
      <w:r w:rsidR="009464A0">
        <w:rPr>
          <w:bCs w:val="0"/>
          <w:sz w:val="22"/>
          <w:szCs w:val="22"/>
        </w:rPr>
        <w:t>twice daily</w:t>
      </w:r>
      <w:r w:rsidR="009464A0" w:rsidRPr="00CD4933">
        <w:rPr>
          <w:bCs w:val="0"/>
          <w:sz w:val="22"/>
          <w:szCs w:val="22"/>
        </w:rPr>
        <w:t xml:space="preserve"> </w:t>
      </w:r>
      <w:r w:rsidR="003354A8" w:rsidRPr="00CD4933">
        <w:rPr>
          <w:bCs w:val="0"/>
          <w:sz w:val="22"/>
          <w:szCs w:val="22"/>
        </w:rPr>
        <w:t>for 14 days</w:t>
      </w:r>
      <w:r w:rsidR="00840134" w:rsidRPr="00CD4933">
        <w:rPr>
          <w:bCs w:val="0"/>
          <w:sz w:val="22"/>
          <w:szCs w:val="22"/>
        </w:rPr>
        <w:br/>
      </w:r>
      <w:r w:rsidR="00482EE7" w:rsidRPr="00482EE7">
        <w:rPr>
          <w:b/>
          <w:sz w:val="22"/>
          <w:szCs w:val="22"/>
        </w:rPr>
        <w:t xml:space="preserve">                                                        </w:t>
      </w:r>
      <w:r w:rsidR="00482EE7" w:rsidRPr="00576BEE">
        <w:rPr>
          <w:b/>
          <w:sz w:val="22"/>
          <w:szCs w:val="22"/>
        </w:rPr>
        <w:t>OR</w:t>
      </w:r>
    </w:p>
    <w:p w14:paraId="0A3995D9" w14:textId="4C819C5C" w:rsidR="003D06D2" w:rsidRPr="00576BEE" w:rsidRDefault="00E003F9" w:rsidP="00576BEE">
      <w:pPr>
        <w:pStyle w:val="BodyText2"/>
        <w:numPr>
          <w:ilvl w:val="0"/>
          <w:numId w:val="52"/>
        </w:numPr>
        <w:spacing w:after="0" w:line="240" w:lineRule="auto"/>
        <w:rPr>
          <w:bCs w:val="0"/>
          <w:sz w:val="22"/>
          <w:szCs w:val="22"/>
        </w:rPr>
      </w:pPr>
      <w:r w:rsidRPr="00576BEE">
        <w:rPr>
          <w:bCs w:val="0"/>
          <w:sz w:val="22"/>
          <w:szCs w:val="22"/>
        </w:rPr>
        <w:t>c</w:t>
      </w:r>
      <w:r w:rsidR="00490C07" w:rsidRPr="00576BEE">
        <w:rPr>
          <w:bCs w:val="0"/>
          <w:sz w:val="22"/>
          <w:szCs w:val="22"/>
        </w:rPr>
        <w:t>efoxitin 2 g</w:t>
      </w:r>
      <w:r w:rsidRPr="00576BEE">
        <w:rPr>
          <w:bCs w:val="0"/>
          <w:sz w:val="22"/>
          <w:szCs w:val="22"/>
        </w:rPr>
        <w:t xml:space="preserve"> </w:t>
      </w:r>
      <w:r w:rsidR="00873E80" w:rsidRPr="00576BEE">
        <w:rPr>
          <w:bCs w:val="0"/>
          <w:sz w:val="22"/>
          <w:szCs w:val="22"/>
        </w:rPr>
        <w:t xml:space="preserve">IM in a single dose and probenecid 1 g po concurrently in a single dose </w:t>
      </w:r>
      <w:r w:rsidRPr="00576BEE">
        <w:rPr>
          <w:bCs w:val="0"/>
          <w:sz w:val="22"/>
          <w:szCs w:val="22"/>
        </w:rPr>
        <w:t>plus</w:t>
      </w:r>
      <w:r w:rsidR="00576BEE" w:rsidRPr="00576BEE">
        <w:rPr>
          <w:bCs w:val="0"/>
          <w:sz w:val="22"/>
          <w:szCs w:val="22"/>
        </w:rPr>
        <w:t xml:space="preserve"> </w:t>
      </w:r>
      <w:r w:rsidR="00490C07" w:rsidRPr="00576BEE">
        <w:rPr>
          <w:bCs w:val="0"/>
          <w:sz w:val="22"/>
          <w:szCs w:val="22"/>
        </w:rPr>
        <w:t>doxycycline</w:t>
      </w:r>
      <w:r w:rsidR="00A6420A" w:rsidRPr="00576BEE">
        <w:rPr>
          <w:bCs w:val="0"/>
          <w:sz w:val="22"/>
          <w:szCs w:val="22"/>
        </w:rPr>
        <w:t>*</w:t>
      </w:r>
      <w:r w:rsidR="003D06D2" w:rsidRPr="00576BEE">
        <w:rPr>
          <w:bCs w:val="0"/>
          <w:sz w:val="22"/>
          <w:szCs w:val="22"/>
        </w:rPr>
        <w:t>*</w:t>
      </w:r>
      <w:r w:rsidR="00490C07" w:rsidRPr="00576BEE">
        <w:rPr>
          <w:bCs w:val="0"/>
          <w:sz w:val="22"/>
          <w:szCs w:val="22"/>
        </w:rPr>
        <w:t xml:space="preserve"> 100 mg po </w:t>
      </w:r>
      <w:r w:rsidR="009F702B" w:rsidRPr="00576BEE">
        <w:rPr>
          <w:bCs w:val="0"/>
          <w:sz w:val="22"/>
          <w:szCs w:val="22"/>
        </w:rPr>
        <w:t>twice daily</w:t>
      </w:r>
      <w:r w:rsidR="00490C07" w:rsidRPr="00576BEE">
        <w:rPr>
          <w:bCs w:val="0"/>
          <w:sz w:val="22"/>
          <w:szCs w:val="22"/>
        </w:rPr>
        <w:t xml:space="preserve"> for 14 days</w:t>
      </w:r>
      <w:r w:rsidR="00873E80" w:rsidRPr="00576BEE">
        <w:rPr>
          <w:bCs w:val="0"/>
          <w:sz w:val="22"/>
          <w:szCs w:val="22"/>
        </w:rPr>
        <w:t xml:space="preserve"> </w:t>
      </w:r>
      <w:r w:rsidR="00873E80" w:rsidRPr="00576BEE">
        <w:rPr>
          <w:bCs w:val="0"/>
          <w:sz w:val="22"/>
          <w:szCs w:val="22"/>
          <w:u w:val="single"/>
        </w:rPr>
        <w:t>with</w:t>
      </w:r>
      <w:r w:rsidR="00873E80" w:rsidRPr="00576BEE">
        <w:rPr>
          <w:bCs w:val="0"/>
          <w:sz w:val="22"/>
          <w:szCs w:val="22"/>
        </w:rPr>
        <w:t xml:space="preserve"> metronidazole 500 mg po </w:t>
      </w:r>
      <w:r w:rsidR="009464A0" w:rsidRPr="00576BEE">
        <w:rPr>
          <w:bCs w:val="0"/>
          <w:sz w:val="22"/>
          <w:szCs w:val="22"/>
        </w:rPr>
        <w:t>twice</w:t>
      </w:r>
      <w:r w:rsidR="00576BEE" w:rsidRPr="00576BEE">
        <w:rPr>
          <w:bCs w:val="0"/>
          <w:sz w:val="22"/>
          <w:szCs w:val="22"/>
        </w:rPr>
        <w:t xml:space="preserve"> </w:t>
      </w:r>
      <w:r w:rsidR="009464A0" w:rsidRPr="00576BEE">
        <w:rPr>
          <w:bCs w:val="0"/>
          <w:sz w:val="22"/>
          <w:szCs w:val="22"/>
        </w:rPr>
        <w:t>daily</w:t>
      </w:r>
      <w:r w:rsidR="00873E80" w:rsidRPr="00576BEE">
        <w:rPr>
          <w:bCs w:val="0"/>
          <w:sz w:val="22"/>
          <w:szCs w:val="22"/>
        </w:rPr>
        <w:t xml:space="preserve"> for 14 days</w:t>
      </w:r>
      <w:r w:rsidR="00873E80" w:rsidRPr="00576BEE">
        <w:rPr>
          <w:bCs w:val="0"/>
          <w:sz w:val="22"/>
          <w:szCs w:val="22"/>
        </w:rPr>
        <w:br/>
      </w:r>
    </w:p>
    <w:p w14:paraId="799C40D9" w14:textId="7FD7001C" w:rsidR="003D06D2" w:rsidRDefault="003D06D2" w:rsidP="003D06D2">
      <w:pPr>
        <w:pStyle w:val="BodyText2"/>
        <w:spacing w:after="0" w:line="240" w:lineRule="auto"/>
        <w:ind w:left="36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* </w:t>
      </w:r>
      <w:proofErr w:type="gramStart"/>
      <w:r>
        <w:rPr>
          <w:bCs w:val="0"/>
          <w:sz w:val="22"/>
          <w:szCs w:val="22"/>
        </w:rPr>
        <w:t>ceftriaxone</w:t>
      </w:r>
      <w:proofErr w:type="gramEnd"/>
      <w:r>
        <w:rPr>
          <w:bCs w:val="0"/>
          <w:sz w:val="22"/>
          <w:szCs w:val="22"/>
        </w:rPr>
        <w:t xml:space="preserve"> 1 g IM for persons weighing </w:t>
      </w:r>
      <w:r w:rsidRPr="00576BEE">
        <w:rPr>
          <w:bCs w:val="0"/>
          <w:sz w:val="22"/>
          <w:szCs w:val="22"/>
          <w:u w:val="single"/>
        </w:rPr>
        <w:t>&gt;</w:t>
      </w:r>
      <w:r>
        <w:rPr>
          <w:bCs w:val="0"/>
          <w:sz w:val="22"/>
          <w:szCs w:val="22"/>
        </w:rPr>
        <w:t xml:space="preserve"> 150 kg</w:t>
      </w:r>
    </w:p>
    <w:p w14:paraId="57DFBD95" w14:textId="3FDE2C9A" w:rsidR="008B09BC" w:rsidRPr="00CD4933" w:rsidRDefault="00A6420A" w:rsidP="00CD4933">
      <w:pPr>
        <w:pStyle w:val="BodyText2"/>
        <w:spacing w:after="0" w:line="240" w:lineRule="auto"/>
        <w:ind w:left="360"/>
        <w:rPr>
          <w:bCs w:val="0"/>
          <w:sz w:val="22"/>
          <w:szCs w:val="22"/>
        </w:rPr>
      </w:pPr>
      <w:r w:rsidRPr="00CD4933">
        <w:rPr>
          <w:bCs w:val="0"/>
          <w:sz w:val="22"/>
          <w:szCs w:val="22"/>
        </w:rPr>
        <w:t>*</w:t>
      </w:r>
      <w:r w:rsidR="003D06D2">
        <w:rPr>
          <w:bCs w:val="0"/>
          <w:sz w:val="22"/>
          <w:szCs w:val="22"/>
        </w:rPr>
        <w:t>*</w:t>
      </w:r>
      <w:r w:rsidR="00482EE7">
        <w:rPr>
          <w:bCs w:val="0"/>
          <w:sz w:val="22"/>
          <w:szCs w:val="22"/>
        </w:rPr>
        <w:t xml:space="preserve"> </w:t>
      </w:r>
      <w:r w:rsidR="003D06D2">
        <w:rPr>
          <w:bCs w:val="0"/>
          <w:sz w:val="22"/>
          <w:szCs w:val="22"/>
        </w:rPr>
        <w:t>d</w:t>
      </w:r>
      <w:r w:rsidR="008B09BC" w:rsidRPr="00CD4933">
        <w:rPr>
          <w:bCs w:val="0"/>
          <w:sz w:val="22"/>
          <w:szCs w:val="22"/>
        </w:rPr>
        <w:t>oxycycline is contraindicated in pregnancy</w:t>
      </w:r>
    </w:p>
    <w:p w14:paraId="3D78E56E" w14:textId="77777777" w:rsidR="008B09BC" w:rsidRPr="00CD4933" w:rsidRDefault="008B09BC" w:rsidP="008B09BC">
      <w:pPr>
        <w:pStyle w:val="BodyText2"/>
        <w:spacing w:after="0" w:line="240" w:lineRule="auto"/>
        <w:rPr>
          <w:bCs w:val="0"/>
          <w:sz w:val="22"/>
          <w:szCs w:val="22"/>
        </w:rPr>
      </w:pPr>
    </w:p>
    <w:p w14:paraId="620680CE" w14:textId="77777777" w:rsidR="008B09BC" w:rsidRPr="00CD4933" w:rsidRDefault="008B09BC" w:rsidP="008B09BC">
      <w:pPr>
        <w:pStyle w:val="BodyText2"/>
        <w:numPr>
          <w:ilvl w:val="0"/>
          <w:numId w:val="49"/>
        </w:numPr>
        <w:spacing w:after="0" w:line="240" w:lineRule="auto"/>
        <w:rPr>
          <w:bCs w:val="0"/>
          <w:sz w:val="22"/>
          <w:szCs w:val="22"/>
        </w:rPr>
      </w:pPr>
      <w:r w:rsidRPr="00CD4933">
        <w:rPr>
          <w:bCs w:val="0"/>
          <w:sz w:val="22"/>
          <w:szCs w:val="22"/>
        </w:rPr>
        <w:t xml:space="preserve">Instruct student to return for re-treatment if vomiting occurs within 4 hours of any dose of oral medication.  </w:t>
      </w:r>
    </w:p>
    <w:p w14:paraId="2E88427E" w14:textId="77777777" w:rsidR="008B09BC" w:rsidRPr="00CD4933" w:rsidRDefault="008B09BC" w:rsidP="008B09BC">
      <w:pPr>
        <w:pStyle w:val="BodyText2"/>
        <w:spacing w:after="0" w:line="240" w:lineRule="auto"/>
        <w:rPr>
          <w:bCs w:val="0"/>
          <w:sz w:val="22"/>
          <w:szCs w:val="22"/>
        </w:rPr>
      </w:pPr>
    </w:p>
    <w:p w14:paraId="2DC1898B" w14:textId="77777777" w:rsidR="004226C3" w:rsidRPr="00CD4933" w:rsidRDefault="00490C07" w:rsidP="008B09BC">
      <w:pPr>
        <w:pStyle w:val="BodyText2"/>
        <w:numPr>
          <w:ilvl w:val="0"/>
          <w:numId w:val="49"/>
        </w:numPr>
        <w:spacing w:after="0" w:line="240" w:lineRule="auto"/>
        <w:rPr>
          <w:bCs w:val="0"/>
          <w:sz w:val="22"/>
          <w:szCs w:val="22"/>
        </w:rPr>
      </w:pPr>
      <w:r w:rsidRPr="00CD4933">
        <w:rPr>
          <w:bCs w:val="0"/>
          <w:sz w:val="22"/>
          <w:szCs w:val="22"/>
        </w:rPr>
        <w:t xml:space="preserve">Student should be instructed to </w:t>
      </w:r>
      <w:r w:rsidR="00F04D4A" w:rsidRPr="00CD4933">
        <w:rPr>
          <w:bCs w:val="0"/>
          <w:sz w:val="22"/>
          <w:szCs w:val="22"/>
        </w:rPr>
        <w:t>a</w:t>
      </w:r>
      <w:r w:rsidRPr="00CD4933">
        <w:rPr>
          <w:bCs w:val="0"/>
          <w:sz w:val="22"/>
          <w:szCs w:val="22"/>
        </w:rPr>
        <w:t>bstain from intercourse until therapy is completed and partner(s) has been treated.  D</w:t>
      </w:r>
      <w:r w:rsidR="008B09BC" w:rsidRPr="00CD4933">
        <w:rPr>
          <w:bCs w:val="0"/>
          <w:sz w:val="22"/>
          <w:szCs w:val="22"/>
        </w:rPr>
        <w:t>iscuss contact treatment</w:t>
      </w:r>
      <w:r w:rsidR="004226C3" w:rsidRPr="00CD4933">
        <w:rPr>
          <w:bCs w:val="0"/>
          <w:sz w:val="22"/>
          <w:szCs w:val="22"/>
        </w:rPr>
        <w:t>.</w:t>
      </w:r>
    </w:p>
    <w:p w14:paraId="74C66446" w14:textId="77777777" w:rsidR="004226C3" w:rsidRPr="00576BEE" w:rsidRDefault="004226C3" w:rsidP="00576BEE">
      <w:pPr>
        <w:rPr>
          <w:bCs w:val="0"/>
          <w:sz w:val="22"/>
          <w:szCs w:val="22"/>
        </w:rPr>
      </w:pPr>
    </w:p>
    <w:p w14:paraId="7A01B5E8" w14:textId="77777777" w:rsidR="008B09BC" w:rsidRPr="00CD4933" w:rsidRDefault="004226C3" w:rsidP="008B09BC">
      <w:pPr>
        <w:pStyle w:val="BodyText2"/>
        <w:numPr>
          <w:ilvl w:val="0"/>
          <w:numId w:val="49"/>
        </w:numPr>
        <w:spacing w:after="0" w:line="240" w:lineRule="auto"/>
        <w:rPr>
          <w:bCs w:val="0"/>
          <w:sz w:val="22"/>
          <w:szCs w:val="22"/>
        </w:rPr>
      </w:pPr>
      <w:r w:rsidRPr="00CD4933">
        <w:rPr>
          <w:bCs w:val="0"/>
          <w:sz w:val="22"/>
          <w:szCs w:val="22"/>
        </w:rPr>
        <w:t>All women with PID should be tested for HIV</w:t>
      </w:r>
      <w:r w:rsidR="00F04D4A" w:rsidRPr="00CD4933">
        <w:rPr>
          <w:bCs w:val="0"/>
          <w:sz w:val="22"/>
          <w:szCs w:val="22"/>
        </w:rPr>
        <w:t xml:space="preserve"> infection</w:t>
      </w:r>
      <w:r w:rsidRPr="00CD4933">
        <w:rPr>
          <w:bCs w:val="0"/>
          <w:sz w:val="22"/>
          <w:szCs w:val="22"/>
        </w:rPr>
        <w:t>.  Discuss</w:t>
      </w:r>
      <w:r w:rsidR="008B09BC" w:rsidRPr="00CD4933">
        <w:rPr>
          <w:bCs w:val="0"/>
          <w:sz w:val="22"/>
          <w:szCs w:val="22"/>
        </w:rPr>
        <w:t xml:space="preserve"> screening for other STDs as appropriate, health department reporting requirements, and prevention of STDs and pregnancy (offer condoms and contraception as appropriate).</w:t>
      </w:r>
    </w:p>
    <w:p w14:paraId="2EAC7573" w14:textId="77777777" w:rsidR="008B09BC" w:rsidRPr="00CD4933" w:rsidRDefault="008B09BC" w:rsidP="008B09BC">
      <w:pPr>
        <w:pStyle w:val="BodyText2"/>
        <w:spacing w:after="0" w:line="240" w:lineRule="auto"/>
        <w:rPr>
          <w:bCs w:val="0"/>
          <w:sz w:val="22"/>
          <w:szCs w:val="22"/>
        </w:rPr>
      </w:pPr>
    </w:p>
    <w:p w14:paraId="29229379" w14:textId="77777777" w:rsidR="008B09BC" w:rsidRPr="00CD4933" w:rsidRDefault="008B09BC" w:rsidP="008B09BC">
      <w:pPr>
        <w:pStyle w:val="BodyText2"/>
        <w:numPr>
          <w:ilvl w:val="0"/>
          <w:numId w:val="49"/>
        </w:numPr>
        <w:spacing w:after="0" w:line="240" w:lineRule="auto"/>
        <w:rPr>
          <w:bCs w:val="0"/>
          <w:sz w:val="22"/>
          <w:szCs w:val="22"/>
        </w:rPr>
      </w:pPr>
      <w:r w:rsidRPr="00CD4933">
        <w:rPr>
          <w:bCs w:val="0"/>
          <w:sz w:val="22"/>
          <w:szCs w:val="22"/>
        </w:rPr>
        <w:t xml:space="preserve">Schedule a follow-up </w:t>
      </w:r>
      <w:proofErr w:type="gramStart"/>
      <w:r w:rsidRPr="00CD4933">
        <w:rPr>
          <w:bCs w:val="0"/>
          <w:sz w:val="22"/>
          <w:szCs w:val="22"/>
        </w:rPr>
        <w:t>visit</w:t>
      </w:r>
      <w:proofErr w:type="gramEnd"/>
      <w:r w:rsidRPr="00CD4933">
        <w:rPr>
          <w:bCs w:val="0"/>
          <w:sz w:val="22"/>
          <w:szCs w:val="22"/>
        </w:rPr>
        <w:t xml:space="preserve"> for </w:t>
      </w:r>
      <w:r w:rsidR="003354A8" w:rsidRPr="00CD4933">
        <w:rPr>
          <w:bCs w:val="0"/>
          <w:sz w:val="22"/>
          <w:szCs w:val="22"/>
        </w:rPr>
        <w:t xml:space="preserve">clinical </w:t>
      </w:r>
      <w:r w:rsidRPr="00CD4933">
        <w:rPr>
          <w:bCs w:val="0"/>
          <w:sz w:val="22"/>
          <w:szCs w:val="22"/>
        </w:rPr>
        <w:t>reexamination in 24 to 48 hours.</w:t>
      </w:r>
    </w:p>
    <w:p w14:paraId="2E804281" w14:textId="77777777" w:rsidR="00A6420A" w:rsidRPr="00CD4933" w:rsidRDefault="00A6420A" w:rsidP="00F04D4A">
      <w:pPr>
        <w:pStyle w:val="BodyText2"/>
        <w:spacing w:after="0" w:line="240" w:lineRule="auto"/>
        <w:rPr>
          <w:bCs w:val="0"/>
          <w:sz w:val="22"/>
          <w:szCs w:val="22"/>
        </w:rPr>
      </w:pPr>
    </w:p>
    <w:p w14:paraId="09841586" w14:textId="77777777" w:rsidR="00A6420A" w:rsidRPr="00CD4933" w:rsidRDefault="00A6420A" w:rsidP="008B09BC">
      <w:pPr>
        <w:pStyle w:val="BodyText2"/>
        <w:numPr>
          <w:ilvl w:val="0"/>
          <w:numId w:val="49"/>
        </w:numPr>
        <w:spacing w:after="0" w:line="240" w:lineRule="auto"/>
        <w:rPr>
          <w:bCs w:val="0"/>
          <w:sz w:val="22"/>
          <w:szCs w:val="22"/>
        </w:rPr>
      </w:pPr>
      <w:r w:rsidRPr="00CD4933">
        <w:rPr>
          <w:bCs w:val="0"/>
          <w:sz w:val="22"/>
          <w:szCs w:val="22"/>
        </w:rPr>
        <w:t>If a woman has an IUD, it does not need to be removed with the diagnosis of PID.</w:t>
      </w:r>
    </w:p>
    <w:p w14:paraId="2B3A742C" w14:textId="77777777" w:rsidR="008B09BC" w:rsidRPr="00CD4933" w:rsidRDefault="008B09BC" w:rsidP="008B09BC">
      <w:pPr>
        <w:pStyle w:val="BodyText2"/>
        <w:spacing w:after="0" w:line="240" w:lineRule="auto"/>
        <w:rPr>
          <w:bCs w:val="0"/>
          <w:sz w:val="22"/>
          <w:szCs w:val="22"/>
        </w:rPr>
      </w:pPr>
    </w:p>
    <w:p w14:paraId="7C878230" w14:textId="77777777" w:rsidR="008B09BC" w:rsidRPr="00CD4933" w:rsidRDefault="008B09BC" w:rsidP="008B09BC">
      <w:pPr>
        <w:pStyle w:val="BodyText2"/>
        <w:spacing w:after="0" w:line="240" w:lineRule="auto"/>
        <w:rPr>
          <w:bCs w:val="0"/>
          <w:sz w:val="22"/>
          <w:szCs w:val="22"/>
        </w:rPr>
      </w:pPr>
    </w:p>
    <w:p w14:paraId="759A7334" w14:textId="77777777" w:rsidR="008B09BC" w:rsidRPr="00CD4933" w:rsidRDefault="008B09BC" w:rsidP="008B09BC">
      <w:pPr>
        <w:pStyle w:val="BodyText2"/>
        <w:spacing w:after="0" w:line="240" w:lineRule="auto"/>
        <w:rPr>
          <w:b/>
          <w:sz w:val="22"/>
          <w:szCs w:val="22"/>
        </w:rPr>
      </w:pPr>
      <w:r w:rsidRPr="00CD4933">
        <w:rPr>
          <w:b/>
          <w:sz w:val="22"/>
          <w:szCs w:val="22"/>
        </w:rPr>
        <w:t>WHEN TO REFER TO THE CENTER PHYSICIAN</w:t>
      </w:r>
    </w:p>
    <w:p w14:paraId="41429730" w14:textId="77777777" w:rsidR="008B09BC" w:rsidRPr="00CD4933" w:rsidRDefault="008B09BC" w:rsidP="008B09BC">
      <w:pPr>
        <w:pStyle w:val="BodyText2"/>
        <w:spacing w:after="0" w:line="240" w:lineRule="auto"/>
        <w:rPr>
          <w:b/>
          <w:bCs w:val="0"/>
          <w:sz w:val="22"/>
          <w:szCs w:val="22"/>
        </w:rPr>
      </w:pPr>
    </w:p>
    <w:p w14:paraId="32AEEBAC" w14:textId="77777777" w:rsidR="008B09BC" w:rsidRPr="00CD4933" w:rsidRDefault="008B09BC" w:rsidP="008B09BC">
      <w:pPr>
        <w:numPr>
          <w:ilvl w:val="0"/>
          <w:numId w:val="50"/>
        </w:numPr>
        <w:rPr>
          <w:sz w:val="22"/>
          <w:szCs w:val="22"/>
        </w:rPr>
      </w:pPr>
      <w:r w:rsidRPr="00CD4933">
        <w:rPr>
          <w:sz w:val="22"/>
          <w:szCs w:val="22"/>
        </w:rPr>
        <w:t>If the student is pregnant:  Because of the high risk for maternal morbidity, fetal loss and preterm delivery, pregnant women with suspected PID should be hospitalized and treated with parenteral antibiotics</w:t>
      </w:r>
    </w:p>
    <w:p w14:paraId="7B93FA26" w14:textId="77777777" w:rsidR="008B09BC" w:rsidRPr="00CD4933" w:rsidRDefault="008B09BC" w:rsidP="008B09BC">
      <w:pPr>
        <w:rPr>
          <w:sz w:val="22"/>
          <w:szCs w:val="22"/>
        </w:rPr>
      </w:pPr>
    </w:p>
    <w:p w14:paraId="76F08DBF" w14:textId="77777777" w:rsidR="008B09BC" w:rsidRPr="00CD4933" w:rsidRDefault="008B09BC" w:rsidP="008B09BC">
      <w:pPr>
        <w:numPr>
          <w:ilvl w:val="0"/>
          <w:numId w:val="50"/>
        </w:numPr>
        <w:rPr>
          <w:sz w:val="22"/>
          <w:szCs w:val="22"/>
        </w:rPr>
      </w:pPr>
      <w:r w:rsidRPr="00CD4933">
        <w:rPr>
          <w:sz w:val="22"/>
          <w:szCs w:val="22"/>
        </w:rPr>
        <w:t xml:space="preserve">If the diagnosis of PID is uncertain or </w:t>
      </w:r>
      <w:proofErr w:type="spellStart"/>
      <w:r w:rsidRPr="00CD4933">
        <w:rPr>
          <w:sz w:val="22"/>
          <w:szCs w:val="22"/>
        </w:rPr>
        <w:t>tubo</w:t>
      </w:r>
      <w:proofErr w:type="spellEnd"/>
      <w:r w:rsidRPr="00CD4933">
        <w:rPr>
          <w:sz w:val="22"/>
          <w:szCs w:val="22"/>
        </w:rPr>
        <w:t>-ovarian abscess is suspected</w:t>
      </w:r>
    </w:p>
    <w:p w14:paraId="057AC1AA" w14:textId="77777777" w:rsidR="008B09BC" w:rsidRPr="00CD4933" w:rsidRDefault="008B09BC" w:rsidP="008B09BC">
      <w:pPr>
        <w:pStyle w:val="BodyText2"/>
        <w:spacing w:after="0" w:line="240" w:lineRule="auto"/>
        <w:rPr>
          <w:bCs w:val="0"/>
          <w:sz w:val="22"/>
          <w:szCs w:val="22"/>
        </w:rPr>
      </w:pPr>
    </w:p>
    <w:p w14:paraId="5164522D" w14:textId="77777777" w:rsidR="008B09BC" w:rsidRPr="00CD4933" w:rsidRDefault="008B09BC" w:rsidP="008B09BC">
      <w:pPr>
        <w:pStyle w:val="BodyText2"/>
        <w:numPr>
          <w:ilvl w:val="0"/>
          <w:numId w:val="50"/>
        </w:numPr>
        <w:spacing w:after="0" w:line="240" w:lineRule="auto"/>
        <w:rPr>
          <w:bCs w:val="0"/>
          <w:sz w:val="22"/>
          <w:szCs w:val="22"/>
        </w:rPr>
      </w:pPr>
      <w:r w:rsidRPr="00CD4933">
        <w:rPr>
          <w:bCs w:val="0"/>
          <w:sz w:val="22"/>
          <w:szCs w:val="22"/>
        </w:rPr>
        <w:t xml:space="preserve">If the student has fever </w:t>
      </w:r>
      <w:r w:rsidRPr="00CD4933">
        <w:rPr>
          <w:bCs w:val="0"/>
          <w:sz w:val="22"/>
          <w:szCs w:val="22"/>
          <w:u w:val="single"/>
        </w:rPr>
        <w:t>&gt;</w:t>
      </w:r>
      <w:r w:rsidRPr="00CD4933">
        <w:rPr>
          <w:bCs w:val="0"/>
          <w:sz w:val="22"/>
          <w:szCs w:val="22"/>
        </w:rPr>
        <w:t xml:space="preserve"> 101</w:t>
      </w:r>
      <w:r w:rsidRPr="00CD4933">
        <w:rPr>
          <w:bCs w:val="0"/>
          <w:sz w:val="22"/>
          <w:szCs w:val="22"/>
          <w:vertAlign w:val="superscript"/>
        </w:rPr>
        <w:t>o</w:t>
      </w:r>
      <w:r w:rsidRPr="00CD4933">
        <w:rPr>
          <w:bCs w:val="0"/>
          <w:sz w:val="22"/>
          <w:szCs w:val="22"/>
        </w:rPr>
        <w:t>F or fever with chills or vomiting</w:t>
      </w:r>
    </w:p>
    <w:p w14:paraId="10B163C3" w14:textId="77777777" w:rsidR="008B09BC" w:rsidRPr="00CD4933" w:rsidRDefault="008B09BC" w:rsidP="008B09BC">
      <w:pPr>
        <w:rPr>
          <w:sz w:val="22"/>
          <w:szCs w:val="22"/>
        </w:rPr>
      </w:pPr>
    </w:p>
    <w:p w14:paraId="004CFA66" w14:textId="77777777" w:rsidR="002414A6" w:rsidRPr="00CD4933" w:rsidRDefault="008B09BC" w:rsidP="008B09BC">
      <w:pPr>
        <w:numPr>
          <w:ilvl w:val="0"/>
          <w:numId w:val="50"/>
        </w:numPr>
        <w:rPr>
          <w:sz w:val="22"/>
          <w:szCs w:val="22"/>
        </w:rPr>
      </w:pPr>
      <w:r w:rsidRPr="00CD4933">
        <w:rPr>
          <w:sz w:val="22"/>
          <w:szCs w:val="22"/>
        </w:rPr>
        <w:t>If the student has not responded clinically to oral antibiotics in 24 to 48 hours</w:t>
      </w:r>
    </w:p>
    <w:sectPr w:rsidR="002414A6" w:rsidRPr="00CD4933" w:rsidSect="00CD49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93804" w14:textId="77777777" w:rsidR="00111876" w:rsidRDefault="00111876">
      <w:r>
        <w:separator/>
      </w:r>
    </w:p>
  </w:endnote>
  <w:endnote w:type="continuationSeparator" w:id="0">
    <w:p w14:paraId="7AAC4EA3" w14:textId="77777777" w:rsidR="00111876" w:rsidRDefault="0011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1B443" w14:textId="77777777" w:rsidR="00100692" w:rsidRDefault="001006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959B" w14:textId="07C72EBC" w:rsidR="008B09BC" w:rsidRPr="00BD11A3" w:rsidRDefault="00100692" w:rsidP="001D5667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>August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547C8" w14:textId="77777777" w:rsidR="00100692" w:rsidRDefault="00100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F0F60" w14:textId="77777777" w:rsidR="00111876" w:rsidRDefault="00111876">
      <w:r>
        <w:separator/>
      </w:r>
    </w:p>
  </w:footnote>
  <w:footnote w:type="continuationSeparator" w:id="0">
    <w:p w14:paraId="546801D6" w14:textId="77777777" w:rsidR="00111876" w:rsidRDefault="00111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3D6D" w14:textId="77777777" w:rsidR="00100692" w:rsidRDefault="001006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004F" w14:textId="77777777" w:rsidR="00100692" w:rsidRDefault="001006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5397B" w14:textId="77777777" w:rsidR="00100692" w:rsidRDefault="001006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45D"/>
    <w:multiLevelType w:val="hybridMultilevel"/>
    <w:tmpl w:val="3A88FC0C"/>
    <w:lvl w:ilvl="0" w:tplc="096E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4414"/>
    <w:multiLevelType w:val="hybridMultilevel"/>
    <w:tmpl w:val="D1B2258C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39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401F22"/>
    <w:multiLevelType w:val="hybridMultilevel"/>
    <w:tmpl w:val="2B141B66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909C1"/>
    <w:multiLevelType w:val="hybridMultilevel"/>
    <w:tmpl w:val="9ED4A56E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A6351"/>
    <w:multiLevelType w:val="hybridMultilevel"/>
    <w:tmpl w:val="EE1082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96AAD"/>
    <w:multiLevelType w:val="hybridMultilevel"/>
    <w:tmpl w:val="96560D52"/>
    <w:lvl w:ilvl="0" w:tplc="88E2D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423A2"/>
    <w:multiLevelType w:val="hybridMultilevel"/>
    <w:tmpl w:val="4A262B30"/>
    <w:lvl w:ilvl="0" w:tplc="7BB44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921C7"/>
    <w:multiLevelType w:val="hybridMultilevel"/>
    <w:tmpl w:val="E1B0DD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B66A48"/>
    <w:multiLevelType w:val="hybridMultilevel"/>
    <w:tmpl w:val="4C688A86"/>
    <w:lvl w:ilvl="0" w:tplc="7B665B76">
      <w:numFmt w:val="bullet"/>
      <w:lvlText w:val=""/>
      <w:lvlJc w:val="left"/>
      <w:pPr>
        <w:ind w:left="8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234E11F2"/>
    <w:multiLevelType w:val="hybridMultilevel"/>
    <w:tmpl w:val="240422F8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04C55"/>
    <w:multiLevelType w:val="hybridMultilevel"/>
    <w:tmpl w:val="905805A4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B110D4"/>
    <w:multiLevelType w:val="hybridMultilevel"/>
    <w:tmpl w:val="6EE0ED84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F484D"/>
    <w:multiLevelType w:val="hybridMultilevel"/>
    <w:tmpl w:val="C596B7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410D12"/>
    <w:multiLevelType w:val="hybridMultilevel"/>
    <w:tmpl w:val="1C4A8EB4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31121"/>
    <w:multiLevelType w:val="hybridMultilevel"/>
    <w:tmpl w:val="0240B93A"/>
    <w:lvl w:ilvl="0" w:tplc="391899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5381A"/>
    <w:multiLevelType w:val="hybridMultilevel"/>
    <w:tmpl w:val="DA687E56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94BEF"/>
    <w:multiLevelType w:val="hybridMultilevel"/>
    <w:tmpl w:val="AC4EC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9CD8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A04959"/>
    <w:multiLevelType w:val="hybridMultilevel"/>
    <w:tmpl w:val="445AB2C4"/>
    <w:lvl w:ilvl="0" w:tplc="7DBE8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929DC"/>
    <w:multiLevelType w:val="hybridMultilevel"/>
    <w:tmpl w:val="9F6A1682"/>
    <w:lvl w:ilvl="0" w:tplc="6FF68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CE136D"/>
    <w:multiLevelType w:val="hybridMultilevel"/>
    <w:tmpl w:val="048AA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124EA4"/>
    <w:multiLevelType w:val="hybridMultilevel"/>
    <w:tmpl w:val="0240B93A"/>
    <w:lvl w:ilvl="0" w:tplc="942C01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A2773"/>
    <w:multiLevelType w:val="hybridMultilevel"/>
    <w:tmpl w:val="31C2432E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47BD1"/>
    <w:multiLevelType w:val="hybridMultilevel"/>
    <w:tmpl w:val="C29095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3E2F56"/>
    <w:multiLevelType w:val="hybridMultilevel"/>
    <w:tmpl w:val="2B548722"/>
    <w:lvl w:ilvl="0" w:tplc="F2288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325319E"/>
    <w:multiLevelType w:val="hybridMultilevel"/>
    <w:tmpl w:val="4F26FA18"/>
    <w:lvl w:ilvl="0" w:tplc="096E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91418"/>
    <w:multiLevelType w:val="hybridMultilevel"/>
    <w:tmpl w:val="354C343E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96C9A"/>
    <w:multiLevelType w:val="hybridMultilevel"/>
    <w:tmpl w:val="26225B68"/>
    <w:lvl w:ilvl="0" w:tplc="E8967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EB7B92"/>
    <w:multiLevelType w:val="hybridMultilevel"/>
    <w:tmpl w:val="D80E1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FA247E"/>
    <w:multiLevelType w:val="hybridMultilevel"/>
    <w:tmpl w:val="50AADC30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81A6E"/>
    <w:multiLevelType w:val="hybridMultilevel"/>
    <w:tmpl w:val="446E88F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65BF7"/>
    <w:multiLevelType w:val="hybridMultilevel"/>
    <w:tmpl w:val="B1FC98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6856FCA"/>
    <w:multiLevelType w:val="hybridMultilevel"/>
    <w:tmpl w:val="AF166C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FD4D22"/>
    <w:multiLevelType w:val="hybridMultilevel"/>
    <w:tmpl w:val="22B25C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753681"/>
    <w:multiLevelType w:val="hybridMultilevel"/>
    <w:tmpl w:val="541E597A"/>
    <w:lvl w:ilvl="0" w:tplc="6256F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9850F12"/>
    <w:multiLevelType w:val="hybridMultilevel"/>
    <w:tmpl w:val="53BCD9CE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BF165B0"/>
    <w:multiLevelType w:val="hybridMultilevel"/>
    <w:tmpl w:val="D6FADF22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5161F9"/>
    <w:multiLevelType w:val="hybridMultilevel"/>
    <w:tmpl w:val="79263302"/>
    <w:lvl w:ilvl="0" w:tplc="BB2401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F37AF3"/>
    <w:multiLevelType w:val="hybridMultilevel"/>
    <w:tmpl w:val="4394E7C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A72AAC"/>
    <w:multiLevelType w:val="hybridMultilevel"/>
    <w:tmpl w:val="A5FEA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D3486E"/>
    <w:multiLevelType w:val="hybridMultilevel"/>
    <w:tmpl w:val="F2A0ACE0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577286"/>
    <w:multiLevelType w:val="hybridMultilevel"/>
    <w:tmpl w:val="C1C2BF9E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CF72F8"/>
    <w:multiLevelType w:val="hybridMultilevel"/>
    <w:tmpl w:val="B5E46C30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7660AF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E05FF5"/>
    <w:multiLevelType w:val="hybridMultilevel"/>
    <w:tmpl w:val="F89869D4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585427"/>
    <w:multiLevelType w:val="hybridMultilevel"/>
    <w:tmpl w:val="254E6DF2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BBC5AF0"/>
    <w:multiLevelType w:val="hybridMultilevel"/>
    <w:tmpl w:val="E7F0663C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650EF8"/>
    <w:multiLevelType w:val="hybridMultilevel"/>
    <w:tmpl w:val="DC6CBA12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CFD81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1812228"/>
    <w:multiLevelType w:val="hybridMultilevel"/>
    <w:tmpl w:val="41526570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0E4286"/>
    <w:multiLevelType w:val="hybridMultilevel"/>
    <w:tmpl w:val="76F89DAC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2C3751A"/>
    <w:multiLevelType w:val="hybridMultilevel"/>
    <w:tmpl w:val="8738F5B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5016DC2"/>
    <w:multiLevelType w:val="hybridMultilevel"/>
    <w:tmpl w:val="F9D4EE7E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F72581"/>
    <w:multiLevelType w:val="hybridMultilevel"/>
    <w:tmpl w:val="06288494"/>
    <w:lvl w:ilvl="0" w:tplc="92148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B4C78D8"/>
    <w:multiLevelType w:val="hybridMultilevel"/>
    <w:tmpl w:val="5F5E20C4"/>
    <w:lvl w:ilvl="0" w:tplc="96FA7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7"/>
  </w:num>
  <w:num w:numId="4">
    <w:abstractNumId w:val="40"/>
  </w:num>
  <w:num w:numId="5">
    <w:abstractNumId w:val="3"/>
  </w:num>
  <w:num w:numId="6">
    <w:abstractNumId w:val="20"/>
  </w:num>
  <w:num w:numId="7">
    <w:abstractNumId w:val="28"/>
  </w:num>
  <w:num w:numId="8">
    <w:abstractNumId w:val="17"/>
  </w:num>
  <w:num w:numId="9">
    <w:abstractNumId w:val="16"/>
  </w:num>
  <w:num w:numId="10">
    <w:abstractNumId w:val="51"/>
  </w:num>
  <w:num w:numId="11">
    <w:abstractNumId w:val="37"/>
  </w:num>
  <w:num w:numId="12">
    <w:abstractNumId w:val="21"/>
  </w:num>
  <w:num w:numId="13">
    <w:abstractNumId w:val="4"/>
  </w:num>
  <w:num w:numId="14">
    <w:abstractNumId w:val="33"/>
  </w:num>
  <w:num w:numId="15">
    <w:abstractNumId w:val="38"/>
  </w:num>
  <w:num w:numId="16">
    <w:abstractNumId w:val="52"/>
  </w:num>
  <w:num w:numId="17">
    <w:abstractNumId w:val="22"/>
  </w:num>
  <w:num w:numId="18">
    <w:abstractNumId w:val="35"/>
  </w:num>
  <w:num w:numId="19">
    <w:abstractNumId w:val="11"/>
  </w:num>
  <w:num w:numId="20">
    <w:abstractNumId w:val="48"/>
  </w:num>
  <w:num w:numId="21">
    <w:abstractNumId w:val="41"/>
  </w:num>
  <w:num w:numId="22">
    <w:abstractNumId w:val="31"/>
  </w:num>
  <w:num w:numId="23">
    <w:abstractNumId w:val="46"/>
  </w:num>
  <w:num w:numId="24">
    <w:abstractNumId w:val="12"/>
  </w:num>
  <w:num w:numId="25">
    <w:abstractNumId w:val="6"/>
  </w:num>
  <w:num w:numId="26">
    <w:abstractNumId w:val="23"/>
  </w:num>
  <w:num w:numId="27">
    <w:abstractNumId w:val="36"/>
  </w:num>
  <w:num w:numId="28">
    <w:abstractNumId w:val="2"/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0"/>
  </w:num>
  <w:num w:numId="32">
    <w:abstractNumId w:val="15"/>
  </w:num>
  <w:num w:numId="33">
    <w:abstractNumId w:val="44"/>
  </w:num>
  <w:num w:numId="34">
    <w:abstractNumId w:val="8"/>
  </w:num>
  <w:num w:numId="35">
    <w:abstractNumId w:val="0"/>
  </w:num>
  <w:num w:numId="36">
    <w:abstractNumId w:val="32"/>
  </w:num>
  <w:num w:numId="37">
    <w:abstractNumId w:val="18"/>
  </w:num>
  <w:num w:numId="38">
    <w:abstractNumId w:val="42"/>
  </w:num>
  <w:num w:numId="39">
    <w:abstractNumId w:val="29"/>
  </w:num>
  <w:num w:numId="40">
    <w:abstractNumId w:val="26"/>
  </w:num>
  <w:num w:numId="41">
    <w:abstractNumId w:val="24"/>
  </w:num>
  <w:num w:numId="42">
    <w:abstractNumId w:val="14"/>
  </w:num>
  <w:num w:numId="43">
    <w:abstractNumId w:val="45"/>
  </w:num>
  <w:num w:numId="44">
    <w:abstractNumId w:val="50"/>
  </w:num>
  <w:num w:numId="45">
    <w:abstractNumId w:val="39"/>
  </w:num>
  <w:num w:numId="46">
    <w:abstractNumId w:val="1"/>
  </w:num>
  <w:num w:numId="47">
    <w:abstractNumId w:val="34"/>
  </w:num>
  <w:num w:numId="48">
    <w:abstractNumId w:val="47"/>
  </w:num>
  <w:num w:numId="49">
    <w:abstractNumId w:val="19"/>
  </w:num>
  <w:num w:numId="50">
    <w:abstractNumId w:val="43"/>
  </w:num>
  <w:num w:numId="51">
    <w:abstractNumId w:val="49"/>
  </w:num>
  <w:num w:numId="52">
    <w:abstractNumId w:val="5"/>
  </w:num>
  <w:num w:numId="53">
    <w:abstractNumId w:val="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A04"/>
    <w:rsid w:val="000174B8"/>
    <w:rsid w:val="00053E5D"/>
    <w:rsid w:val="00066BB8"/>
    <w:rsid w:val="000B3183"/>
    <w:rsid w:val="00100692"/>
    <w:rsid w:val="00102E77"/>
    <w:rsid w:val="00111876"/>
    <w:rsid w:val="00126937"/>
    <w:rsid w:val="00142A85"/>
    <w:rsid w:val="001502F4"/>
    <w:rsid w:val="0018255C"/>
    <w:rsid w:val="001877CE"/>
    <w:rsid w:val="00187933"/>
    <w:rsid w:val="001C0CC9"/>
    <w:rsid w:val="001D5667"/>
    <w:rsid w:val="001F07BC"/>
    <w:rsid w:val="002366B3"/>
    <w:rsid w:val="00236FC9"/>
    <w:rsid w:val="002414A6"/>
    <w:rsid w:val="002474C3"/>
    <w:rsid w:val="00251CC2"/>
    <w:rsid w:val="00273BEC"/>
    <w:rsid w:val="00293C4E"/>
    <w:rsid w:val="002B7453"/>
    <w:rsid w:val="002E0A61"/>
    <w:rsid w:val="002F53D8"/>
    <w:rsid w:val="003168D9"/>
    <w:rsid w:val="003354A8"/>
    <w:rsid w:val="00340742"/>
    <w:rsid w:val="003464BA"/>
    <w:rsid w:val="00353695"/>
    <w:rsid w:val="00353A26"/>
    <w:rsid w:val="003D06D2"/>
    <w:rsid w:val="003E76B8"/>
    <w:rsid w:val="003F760A"/>
    <w:rsid w:val="004027C7"/>
    <w:rsid w:val="004226C3"/>
    <w:rsid w:val="004677A8"/>
    <w:rsid w:val="00482EE7"/>
    <w:rsid w:val="00485A18"/>
    <w:rsid w:val="00490C07"/>
    <w:rsid w:val="004E01D6"/>
    <w:rsid w:val="004E6FDC"/>
    <w:rsid w:val="00546DB7"/>
    <w:rsid w:val="00555190"/>
    <w:rsid w:val="005660D6"/>
    <w:rsid w:val="00576BEE"/>
    <w:rsid w:val="005A4EF1"/>
    <w:rsid w:val="005B58D9"/>
    <w:rsid w:val="00607DB0"/>
    <w:rsid w:val="00621A51"/>
    <w:rsid w:val="006624A0"/>
    <w:rsid w:val="006652F7"/>
    <w:rsid w:val="006903C6"/>
    <w:rsid w:val="006953EE"/>
    <w:rsid w:val="006B5BF5"/>
    <w:rsid w:val="006C5907"/>
    <w:rsid w:val="006E6AB8"/>
    <w:rsid w:val="006E768F"/>
    <w:rsid w:val="00700580"/>
    <w:rsid w:val="007A2E61"/>
    <w:rsid w:val="008379DB"/>
    <w:rsid w:val="00840134"/>
    <w:rsid w:val="0084556F"/>
    <w:rsid w:val="00853AA0"/>
    <w:rsid w:val="00860550"/>
    <w:rsid w:val="00873E80"/>
    <w:rsid w:val="008B09BC"/>
    <w:rsid w:val="009464A0"/>
    <w:rsid w:val="0094733F"/>
    <w:rsid w:val="00972384"/>
    <w:rsid w:val="009F702B"/>
    <w:rsid w:val="00A6420A"/>
    <w:rsid w:val="00A96841"/>
    <w:rsid w:val="00AE66E3"/>
    <w:rsid w:val="00AF1CFF"/>
    <w:rsid w:val="00B12C36"/>
    <w:rsid w:val="00B16259"/>
    <w:rsid w:val="00B42F3F"/>
    <w:rsid w:val="00B53E0F"/>
    <w:rsid w:val="00B75A95"/>
    <w:rsid w:val="00B85855"/>
    <w:rsid w:val="00BA6C55"/>
    <w:rsid w:val="00BC323C"/>
    <w:rsid w:val="00BD11A3"/>
    <w:rsid w:val="00BF49E6"/>
    <w:rsid w:val="00C03056"/>
    <w:rsid w:val="00C143B9"/>
    <w:rsid w:val="00C40686"/>
    <w:rsid w:val="00C42687"/>
    <w:rsid w:val="00C5656B"/>
    <w:rsid w:val="00C57726"/>
    <w:rsid w:val="00CD4891"/>
    <w:rsid w:val="00CD4933"/>
    <w:rsid w:val="00D42004"/>
    <w:rsid w:val="00D758A2"/>
    <w:rsid w:val="00DA4128"/>
    <w:rsid w:val="00DB2CF6"/>
    <w:rsid w:val="00DB51C0"/>
    <w:rsid w:val="00DE7DE1"/>
    <w:rsid w:val="00DF2078"/>
    <w:rsid w:val="00E003F9"/>
    <w:rsid w:val="00E718FB"/>
    <w:rsid w:val="00E90E3F"/>
    <w:rsid w:val="00EB38DE"/>
    <w:rsid w:val="00F04D4A"/>
    <w:rsid w:val="00F10334"/>
    <w:rsid w:val="00F36A04"/>
    <w:rsid w:val="00FC5B74"/>
    <w:rsid w:val="00FD238D"/>
    <w:rsid w:val="00F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B1F7C2"/>
  <w15:chartTrackingRefBased/>
  <w15:docId w15:val="{B991AE08-081F-4C2D-A09C-D31D71F1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  <w:style w:type="character" w:styleId="Hyperlink">
    <w:name w:val="Hyperlink"/>
    <w:rsid w:val="00251CC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02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2E77"/>
    <w:rPr>
      <w:rFonts w:ascii="Tahoma" w:hAnsi="Tahoma" w:cs="Tahoma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4226C3"/>
    <w:pPr>
      <w:ind w:left="720"/>
      <w:contextualSpacing/>
    </w:pPr>
  </w:style>
  <w:style w:type="paragraph" w:styleId="Revision">
    <w:name w:val="Revision"/>
    <w:hidden/>
    <w:uiPriority w:val="99"/>
    <w:semiHidden/>
    <w:rsid w:val="004E01D6"/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XRUYQT3274NZ-681238054-1488</_dlc_DocId>
    <_dlc_DocIdUrl xmlns="b22f8f74-215c-4154-9939-bd29e4e8980e">
      <Url>https://supportservices.jobcorps.gov/health/_layouts/15/DocIdRedir.aspx?ID=XRUYQT3274NZ-681238054-1488</Url>
      <Description>XRUYQT3274NZ-681238054-1488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F639F59-24FD-4A66-B047-9708FECD5CD3}"/>
</file>

<file path=customXml/itemProps2.xml><?xml version="1.0" encoding="utf-8"?>
<ds:datastoreItem xmlns:ds="http://schemas.openxmlformats.org/officeDocument/2006/customXml" ds:itemID="{031AD15F-1E4A-468C-A0EC-0F96C12106E6}"/>
</file>

<file path=customXml/itemProps3.xml><?xml version="1.0" encoding="utf-8"?>
<ds:datastoreItem xmlns:ds="http://schemas.openxmlformats.org/officeDocument/2006/customXml" ds:itemID="{7F3447BA-27C7-495B-A2F4-3BE5B3ADDCD8}"/>
</file>

<file path=customXml/itemProps4.xml><?xml version="1.0" encoding="utf-8"?>
<ds:datastoreItem xmlns:ds="http://schemas.openxmlformats.org/officeDocument/2006/customXml" ds:itemID="{9A0692DE-EC62-4565-B5ED-2209E9EEAD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336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GUIDELINES FOR HEALTH STAFF</vt:lpstr>
    </vt:vector>
  </TitlesOfParts>
  <Company>Humanitas, Inc.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GUIDELINES FOR HEALTH STAFF</dc:title>
  <dc:subject/>
  <dc:creator>jdavis</dc:creator>
  <cp:keywords/>
  <cp:lastModifiedBy>Carolina Valdenegro</cp:lastModifiedBy>
  <cp:revision>17</cp:revision>
  <cp:lastPrinted>2019-11-20T20:55:00Z</cp:lastPrinted>
  <dcterms:created xsi:type="dcterms:W3CDTF">2021-08-07T18:49:00Z</dcterms:created>
  <dcterms:modified xsi:type="dcterms:W3CDTF">2021-08-25T14:58:00Z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354cf80b-40c2-4921-88a5-cb22f8a00fdb</vt:lpwstr>
  </property>
</Properties>
</file>