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0D81C" w14:textId="5B296528" w:rsidR="00A96841" w:rsidRPr="001A4105" w:rsidRDefault="00A96841" w:rsidP="000B599D">
      <w:pPr>
        <w:pStyle w:val="BodyTextIndent2"/>
        <w:shd w:val="clear" w:color="auto" w:fill="D9D9D9"/>
        <w:spacing w:before="100" w:beforeAutospacing="1" w:after="100" w:afterAutospacing="1"/>
        <w:ind w:left="0" w:firstLine="0"/>
        <w:jc w:val="center"/>
        <w:rPr>
          <w:rFonts w:ascii="Helvetica" w:hAnsi="Helvetica"/>
          <w:b/>
          <w:caps/>
        </w:rPr>
      </w:pPr>
      <w:r w:rsidRPr="001A4105">
        <w:rPr>
          <w:rFonts w:ascii="Helvetica" w:hAnsi="Helvetica"/>
          <w:b/>
          <w:caps/>
        </w:rPr>
        <w:t>Treatment Guidelines FOR HEALTH STAFF</w:t>
      </w:r>
    </w:p>
    <w:p w14:paraId="53698EB1" w14:textId="5E1A925C" w:rsidR="00A96841" w:rsidRPr="000B599D" w:rsidRDefault="00A96841" w:rsidP="000B599D">
      <w:pPr>
        <w:pStyle w:val="BodyTextIndent2"/>
        <w:shd w:val="clear" w:color="auto" w:fill="D9D9D9"/>
        <w:spacing w:before="100" w:beforeAutospacing="1" w:after="100" w:afterAutospacing="1"/>
        <w:ind w:left="0" w:firstLine="0"/>
        <w:jc w:val="center"/>
        <w:rPr>
          <w:rFonts w:ascii="Helvetica" w:hAnsi="Helvetica"/>
          <w:b/>
          <w:caps/>
        </w:rPr>
      </w:pPr>
      <w:r w:rsidRPr="001A4105">
        <w:rPr>
          <w:rFonts w:ascii="Helvetica" w:hAnsi="Helvetica"/>
          <w:b/>
          <w:caps/>
        </w:rPr>
        <w:t>Fungal Skin Infections</w:t>
      </w:r>
    </w:p>
    <w:p w14:paraId="1393EDD3" w14:textId="77777777" w:rsidR="00A96841" w:rsidRPr="001A4105" w:rsidRDefault="00A96841" w:rsidP="00A96841">
      <w:pPr>
        <w:pStyle w:val="BodyTextIndent2"/>
        <w:ind w:left="0" w:firstLine="0"/>
        <w:jc w:val="center"/>
        <w:rPr>
          <w:b/>
        </w:rPr>
      </w:pPr>
    </w:p>
    <w:p w14:paraId="2D17831B" w14:textId="77777777" w:rsidR="00A96841" w:rsidRPr="001A4105" w:rsidRDefault="00A96841" w:rsidP="00A96841">
      <w:r w:rsidRPr="001A4105">
        <w:t>Authorized health and wellness staff may treat fungal skin infections as follows:</w:t>
      </w:r>
    </w:p>
    <w:p w14:paraId="7A0D7946" w14:textId="77777777" w:rsidR="00A96841" w:rsidRDefault="00A96841" w:rsidP="00A96841">
      <w:pPr>
        <w:rPr>
          <w:bCs w:val="0"/>
        </w:rPr>
      </w:pPr>
    </w:p>
    <w:p w14:paraId="71F263CB" w14:textId="77777777" w:rsidR="00321BC4" w:rsidRPr="008F3D1C" w:rsidRDefault="00321BC4" w:rsidP="00A96841">
      <w:pPr>
        <w:rPr>
          <w:bCs w:val="0"/>
        </w:rPr>
      </w:pPr>
      <w:r w:rsidRPr="008F3D1C">
        <w:rPr>
          <w:bCs w:val="0"/>
        </w:rPr>
        <w:t>There are many OTC and prescription antifungal agents available for the treatment of tinea pedis, corporis and cruris.</w:t>
      </w:r>
      <w:r w:rsidR="006570A1" w:rsidRPr="008F3D1C">
        <w:rPr>
          <w:bCs w:val="0"/>
        </w:rPr>
        <w:t xml:space="preserve">  Only one, c</w:t>
      </w:r>
      <w:r w:rsidRPr="008F3D1C">
        <w:rPr>
          <w:bCs w:val="0"/>
        </w:rPr>
        <w:t>lotrimazole (</w:t>
      </w:r>
      <w:r w:rsidR="006570A1" w:rsidRPr="008F3D1C">
        <w:rPr>
          <w:bCs w:val="0"/>
        </w:rPr>
        <w:t>e.g., Lotrimin) is mentioned below.</w:t>
      </w:r>
    </w:p>
    <w:p w14:paraId="7AEB5C34" w14:textId="77777777" w:rsidR="00321BC4" w:rsidRPr="001A4105" w:rsidRDefault="00321BC4" w:rsidP="00A96841">
      <w:pPr>
        <w:rPr>
          <w:bCs w:val="0"/>
        </w:rPr>
      </w:pPr>
    </w:p>
    <w:p w14:paraId="323D21AA" w14:textId="77777777" w:rsidR="00A96841" w:rsidRPr="001A4105" w:rsidRDefault="00A96841" w:rsidP="00A96841">
      <w:pPr>
        <w:pStyle w:val="BodyTextIndent2"/>
        <w:ind w:left="0" w:firstLine="0"/>
        <w:rPr>
          <w:b/>
        </w:rPr>
      </w:pPr>
      <w:r w:rsidRPr="001A4105">
        <w:rPr>
          <w:b/>
        </w:rPr>
        <w:t>Athlete’s Foot (tinea pedis)</w:t>
      </w:r>
    </w:p>
    <w:p w14:paraId="6E414A73" w14:textId="77777777" w:rsidR="00A96841" w:rsidRPr="001A4105" w:rsidRDefault="00A96841" w:rsidP="00A96841">
      <w:pPr>
        <w:pStyle w:val="BodyTextIndent2"/>
        <w:ind w:left="0" w:firstLine="0"/>
      </w:pPr>
    </w:p>
    <w:p w14:paraId="59D219DB" w14:textId="77777777" w:rsidR="00A96841" w:rsidRPr="001A4105" w:rsidRDefault="00A96841" w:rsidP="00A96841">
      <w:pPr>
        <w:pStyle w:val="BodyTextIndent"/>
        <w:ind w:hanging="360"/>
      </w:pPr>
      <w:r w:rsidRPr="001A4105">
        <w:t>1.</w:t>
      </w:r>
      <w:r w:rsidRPr="001A4105">
        <w:tab/>
        <w:t>Clotrimazole 1% cream should be applied to affected areas twice each day for at least 21 days.  It may take up to 4 weeks for successful treatment and subsequent maintenance therapy once each day may be necessary.</w:t>
      </w:r>
    </w:p>
    <w:p w14:paraId="6C36DEF7" w14:textId="77777777" w:rsidR="00A96841" w:rsidRPr="001A4105" w:rsidRDefault="00A96841" w:rsidP="00A96841">
      <w:pPr>
        <w:pStyle w:val="BodyTextIndent2"/>
        <w:ind w:left="0" w:hanging="360"/>
      </w:pPr>
    </w:p>
    <w:p w14:paraId="1014A5F7" w14:textId="77777777" w:rsidR="00A96841" w:rsidRPr="001A4105" w:rsidRDefault="00A96841" w:rsidP="00A96841">
      <w:pPr>
        <w:pStyle w:val="BodyTextIndent"/>
        <w:ind w:hanging="360"/>
      </w:pPr>
      <w:r w:rsidRPr="001A4105">
        <w:t>2.</w:t>
      </w:r>
      <w:r w:rsidRPr="001A4105">
        <w:tab/>
        <w:t xml:space="preserve">Students should keep feet as dry as possible at all times.  Feet should be dried thoroughly after bathing before putting on socks.  </w:t>
      </w:r>
      <w:r w:rsidR="000A6C1C" w:rsidRPr="000A6C1C">
        <w:t xml:space="preserve">Socks made of synthetic materials are best at wicking away excess moisture and keeping feet dry.  </w:t>
      </w:r>
      <w:r w:rsidR="002C7B4F" w:rsidRPr="000A6C1C">
        <w:t>Socks made of wool or cotton tend to trap in excess moisture</w:t>
      </w:r>
      <w:r w:rsidR="00C04640" w:rsidRPr="000A6C1C">
        <w:t>.</w:t>
      </w:r>
      <w:r w:rsidR="00C04640">
        <w:t xml:space="preserve">  </w:t>
      </w:r>
      <w:r w:rsidRPr="001A4105">
        <w:t xml:space="preserve">When possible, slip-on shoes and open shoes are recommended.  When possible, sweaty feet should be washed and dried, and footwear replaced by cool, clean, dry socks and shoes.  </w:t>
      </w:r>
      <w:r w:rsidR="00FE496C" w:rsidRPr="000A6C1C">
        <w:t>The infection is contagious and</w:t>
      </w:r>
      <w:r w:rsidR="00FE496C">
        <w:t xml:space="preserve"> s</w:t>
      </w:r>
      <w:r w:rsidRPr="001A4105">
        <w:t>hower shoes are recommended for use</w:t>
      </w:r>
      <w:r w:rsidR="00FE496C">
        <w:t xml:space="preserve"> </w:t>
      </w:r>
      <w:r w:rsidR="00BF5F40" w:rsidRPr="000A6C1C">
        <w:t>in public</w:t>
      </w:r>
      <w:r w:rsidR="00FE496C" w:rsidRPr="000A6C1C">
        <w:t xml:space="preserve"> </w:t>
      </w:r>
      <w:r w:rsidR="00BF5F40" w:rsidRPr="000A6C1C">
        <w:t>showers or locker rooms</w:t>
      </w:r>
      <w:r w:rsidRPr="000A6C1C">
        <w:t xml:space="preserve">.  </w:t>
      </w:r>
      <w:r w:rsidR="002C7B4F" w:rsidRPr="000A6C1C">
        <w:t>Light, b</w:t>
      </w:r>
      <w:r w:rsidR="000A6C1C" w:rsidRPr="000A6C1C">
        <w:t>r</w:t>
      </w:r>
      <w:r w:rsidR="002C7B4F" w:rsidRPr="000A6C1C">
        <w:t>eathable shoes are best and f</w:t>
      </w:r>
      <w:r w:rsidRPr="001A4105">
        <w:t>ootwear should be alternated on successive days</w:t>
      </w:r>
      <w:r w:rsidR="002C7B4F">
        <w:t xml:space="preserve"> </w:t>
      </w:r>
      <w:r w:rsidR="002C7B4F" w:rsidRPr="000A6C1C">
        <w:t>to give each pair a chance to fully dry between uses</w:t>
      </w:r>
      <w:r w:rsidRPr="001A4105">
        <w:t>.</w:t>
      </w:r>
      <w:r w:rsidR="000A6C1C">
        <w:t xml:space="preserve">  Treatment of shoes with antifungal powder may reduce recurrence. </w:t>
      </w:r>
    </w:p>
    <w:p w14:paraId="032FAE81" w14:textId="77777777" w:rsidR="00A96841" w:rsidRPr="001A4105" w:rsidRDefault="00A96841" w:rsidP="00A96841">
      <w:pPr>
        <w:pStyle w:val="BodyTextIndent"/>
        <w:ind w:left="0"/>
      </w:pPr>
    </w:p>
    <w:p w14:paraId="57464010" w14:textId="77777777" w:rsidR="00A96841" w:rsidRPr="001A4105" w:rsidRDefault="00A96841" w:rsidP="00A96841">
      <w:pPr>
        <w:pStyle w:val="BodyTextIndent"/>
        <w:ind w:left="0"/>
        <w:rPr>
          <w:b/>
        </w:rPr>
      </w:pPr>
      <w:r w:rsidRPr="001A4105">
        <w:rPr>
          <w:b/>
        </w:rPr>
        <w:t>Ringworm (tinea corporis)</w:t>
      </w:r>
    </w:p>
    <w:p w14:paraId="3D147E4E" w14:textId="77777777" w:rsidR="00A96841" w:rsidRPr="001A4105" w:rsidRDefault="00A96841" w:rsidP="00A96841">
      <w:pPr>
        <w:pStyle w:val="BodyTextIndent"/>
        <w:ind w:left="0"/>
      </w:pPr>
    </w:p>
    <w:p w14:paraId="563E54AB" w14:textId="77777777" w:rsidR="00A96841" w:rsidRPr="001A4105" w:rsidRDefault="00A96841" w:rsidP="00A96841">
      <w:pPr>
        <w:pStyle w:val="BodyTextIndent2"/>
        <w:numPr>
          <w:ilvl w:val="0"/>
          <w:numId w:val="6"/>
        </w:numPr>
        <w:tabs>
          <w:tab w:val="clear" w:pos="720"/>
          <w:tab w:val="num" w:pos="360"/>
        </w:tabs>
        <w:ind w:left="360"/>
      </w:pPr>
      <w:r w:rsidRPr="001A4105">
        <w:t>Clotrimazole 1% cream should be applied to affected areas</w:t>
      </w:r>
      <w:r w:rsidR="00B0607F">
        <w:t xml:space="preserve"> and one inch around the area</w:t>
      </w:r>
      <w:r w:rsidRPr="001A4105">
        <w:t xml:space="preserve"> twice each day for at least 21 days.  It may take up to 4 weeks for successful treatment. </w:t>
      </w:r>
    </w:p>
    <w:p w14:paraId="30431843" w14:textId="77777777" w:rsidR="00A96841" w:rsidRPr="001A4105" w:rsidRDefault="00A96841" w:rsidP="00A96841">
      <w:pPr>
        <w:pStyle w:val="BodyTextIndent"/>
        <w:ind w:left="-360"/>
      </w:pPr>
    </w:p>
    <w:p w14:paraId="19068AA6" w14:textId="77777777" w:rsidR="008F3D1C" w:rsidRDefault="008E4B4B" w:rsidP="008F3D1C">
      <w:pPr>
        <w:pStyle w:val="BodyTextIndent"/>
        <w:numPr>
          <w:ilvl w:val="0"/>
          <w:numId w:val="6"/>
        </w:numPr>
        <w:tabs>
          <w:tab w:val="clear" w:pos="720"/>
          <w:tab w:val="num" w:pos="360"/>
        </w:tabs>
        <w:ind w:left="360"/>
      </w:pPr>
      <w:r w:rsidRPr="008F3D1C">
        <w:t>It can spread on contact to other parts of the body, or to other people.</w:t>
      </w:r>
      <w:r w:rsidRPr="008E4B4B">
        <w:rPr>
          <w:color w:val="FF0000"/>
        </w:rPr>
        <w:t xml:space="preserve">  </w:t>
      </w:r>
      <w:r w:rsidR="00A96841" w:rsidRPr="001A4105">
        <w:t>Students should be told not to share towels, clothing or athletic equipment.</w:t>
      </w:r>
    </w:p>
    <w:p w14:paraId="2B01C0A6" w14:textId="77777777" w:rsidR="008F3D1C" w:rsidRDefault="008F3D1C" w:rsidP="008F3D1C">
      <w:pPr>
        <w:pStyle w:val="ListParagraph"/>
      </w:pPr>
    </w:p>
    <w:p w14:paraId="7D485893" w14:textId="77777777" w:rsidR="008F3D1C" w:rsidRPr="001A4105" w:rsidRDefault="008F3D1C" w:rsidP="008F3D1C">
      <w:pPr>
        <w:pStyle w:val="BodyTextIndent"/>
        <w:numPr>
          <w:ilvl w:val="0"/>
          <w:numId w:val="6"/>
        </w:numPr>
        <w:tabs>
          <w:tab w:val="clear" w:pos="720"/>
          <w:tab w:val="num" w:pos="360"/>
        </w:tabs>
        <w:ind w:left="360"/>
      </w:pPr>
      <w:r>
        <w:t>If extensive or not im</w:t>
      </w:r>
      <w:bookmarkStart w:id="0" w:name="_GoBack"/>
      <w:bookmarkEnd w:id="0"/>
      <w:r>
        <w:t xml:space="preserve">proving with topical treatment, consider oral antifungal treatment, such as terbinafine 250 mg once daily for 1-2 weeks, or itraconazole 200 mg once daily for one week.  </w:t>
      </w:r>
    </w:p>
    <w:p w14:paraId="5B7AE90D" w14:textId="77777777" w:rsidR="00A96841" w:rsidRPr="001A4105" w:rsidRDefault="00A96841" w:rsidP="00A96841">
      <w:pPr>
        <w:pStyle w:val="BodyTextIndent2"/>
        <w:ind w:left="0" w:firstLine="0"/>
      </w:pPr>
    </w:p>
    <w:p w14:paraId="154B760F" w14:textId="77777777" w:rsidR="00A96841" w:rsidRPr="001A4105" w:rsidRDefault="00A96841" w:rsidP="00A96841">
      <w:pPr>
        <w:pStyle w:val="BodyTextIndent"/>
        <w:ind w:left="0"/>
        <w:rPr>
          <w:b/>
        </w:rPr>
      </w:pPr>
      <w:r w:rsidRPr="001A4105">
        <w:rPr>
          <w:b/>
        </w:rPr>
        <w:t>Jock Itch (tinea cruris) and other intertriginous fungal infections</w:t>
      </w:r>
    </w:p>
    <w:p w14:paraId="0AFCEB3A" w14:textId="77777777" w:rsidR="00A96841" w:rsidRPr="001A4105" w:rsidRDefault="00A96841" w:rsidP="00A96841">
      <w:pPr>
        <w:pStyle w:val="BodyTextIndent"/>
        <w:ind w:left="0"/>
        <w:rPr>
          <w:b/>
        </w:rPr>
      </w:pPr>
    </w:p>
    <w:p w14:paraId="1AEB5D52" w14:textId="77777777" w:rsidR="00046456" w:rsidRDefault="00A96841" w:rsidP="00A96841">
      <w:pPr>
        <w:pStyle w:val="BodyTextIndent2"/>
        <w:numPr>
          <w:ilvl w:val="0"/>
          <w:numId w:val="7"/>
        </w:numPr>
        <w:tabs>
          <w:tab w:val="clear" w:pos="720"/>
          <w:tab w:val="num" w:pos="360"/>
        </w:tabs>
        <w:ind w:left="360"/>
        <w:sectPr w:rsidR="00046456" w:rsidSect="00F36A04">
          <w:footerReference w:type="default" r:id="rId10"/>
          <w:pgSz w:w="12240" w:h="15840"/>
          <w:pgMar w:top="1440" w:right="1440" w:bottom="1440" w:left="1440" w:header="720" w:footer="720" w:gutter="0"/>
          <w:cols w:space="720"/>
          <w:docGrid w:linePitch="360"/>
        </w:sectPr>
      </w:pPr>
      <w:r w:rsidRPr="001A4105">
        <w:t>Clotrimazole 1% cream should be applied to affected areas twice each day for at least 21 days.  It may take up to 4 weeks for successful treatment.</w:t>
      </w:r>
    </w:p>
    <w:p w14:paraId="654F6F66" w14:textId="77777777" w:rsidR="00A96841" w:rsidRPr="001A4105" w:rsidRDefault="008E4B4B" w:rsidP="00A96841">
      <w:pPr>
        <w:pStyle w:val="BodyTextIndent2"/>
        <w:numPr>
          <w:ilvl w:val="0"/>
          <w:numId w:val="7"/>
        </w:numPr>
        <w:tabs>
          <w:tab w:val="clear" w:pos="720"/>
          <w:tab w:val="num" w:pos="360"/>
        </w:tabs>
        <w:ind w:left="360"/>
      </w:pPr>
      <w:r w:rsidRPr="004C69CB">
        <w:lastRenderedPageBreak/>
        <w:t>It can spread on contact to other parts of the body, or to other people</w:t>
      </w:r>
      <w:r w:rsidRPr="008E4B4B">
        <w:rPr>
          <w:color w:val="FF0000"/>
        </w:rPr>
        <w:t xml:space="preserve">.  </w:t>
      </w:r>
      <w:r w:rsidR="00A96841" w:rsidRPr="001A4105">
        <w:t>Students should be told not to share towels, clothing or athletic equipment.</w:t>
      </w:r>
    </w:p>
    <w:p w14:paraId="337185B4" w14:textId="77777777" w:rsidR="00A96841" w:rsidRPr="001A4105" w:rsidRDefault="00A96841" w:rsidP="00A96841">
      <w:pPr>
        <w:pStyle w:val="BodyTextIndent2"/>
        <w:ind w:left="0" w:firstLine="0"/>
      </w:pPr>
    </w:p>
    <w:p w14:paraId="25232894" w14:textId="77777777" w:rsidR="00A96841" w:rsidRDefault="00A96841" w:rsidP="00F61C97">
      <w:pPr>
        <w:pStyle w:val="BodyTextIndent"/>
        <w:numPr>
          <w:ilvl w:val="0"/>
          <w:numId w:val="7"/>
        </w:numPr>
        <w:tabs>
          <w:tab w:val="clear" w:pos="720"/>
          <w:tab w:val="num" w:pos="360"/>
        </w:tabs>
        <w:ind w:left="360"/>
      </w:pPr>
      <w:r w:rsidRPr="001A4105">
        <w:t xml:space="preserve">Students with jock itch and other fungal rashes in areas where skin meets skin should keep these areas as cool and dry as possible at all times.  The areas should be dried thoroughly after bathing and before dressing.  Loose fitting underwear and clothing are preferable when possible. </w:t>
      </w:r>
      <w:r w:rsidR="00CE31D3" w:rsidRPr="004C69CB">
        <w:t>Use moisture-wicking synthetic underwear and be sure to shower and put on a fresh pair after working out.</w:t>
      </w:r>
      <w:r w:rsidR="00CE31D3">
        <w:t xml:space="preserve"> </w:t>
      </w:r>
    </w:p>
    <w:p w14:paraId="6DBB0E08" w14:textId="77777777" w:rsidR="00403DFA" w:rsidRDefault="00403DFA" w:rsidP="00403DFA">
      <w:pPr>
        <w:pStyle w:val="Heading1"/>
        <w:jc w:val="left"/>
      </w:pPr>
    </w:p>
    <w:p w14:paraId="1B248BDC" w14:textId="30815C34" w:rsidR="00A96841" w:rsidRPr="00403DFA" w:rsidRDefault="00A96841" w:rsidP="00830CB5">
      <w:pPr>
        <w:pStyle w:val="Heading1"/>
        <w:jc w:val="left"/>
      </w:pPr>
      <w:r w:rsidRPr="00403DFA">
        <w:t>Tinea Versicolor</w:t>
      </w:r>
    </w:p>
    <w:p w14:paraId="64163483" w14:textId="77777777" w:rsidR="00A96841" w:rsidRPr="00403DFA" w:rsidRDefault="00A96841" w:rsidP="00A96841"/>
    <w:p w14:paraId="12C80755" w14:textId="3C06CEA2" w:rsidR="00927845" w:rsidRDefault="00D0698D" w:rsidP="00830CB5">
      <w:pPr>
        <w:pStyle w:val="ListParagraph"/>
        <w:numPr>
          <w:ilvl w:val="0"/>
          <w:numId w:val="8"/>
        </w:numPr>
        <w:ind w:left="360"/>
      </w:pPr>
      <w:r w:rsidRPr="00403DFA">
        <w:t>First line o</w:t>
      </w:r>
      <w:r w:rsidR="00927845" w:rsidRPr="00403DFA">
        <w:t>ptions for treatment include the following:</w:t>
      </w:r>
    </w:p>
    <w:p w14:paraId="31413160" w14:textId="77777777" w:rsidR="000B599D" w:rsidRPr="00403DFA" w:rsidRDefault="000B599D" w:rsidP="00830CB5">
      <w:pPr>
        <w:pStyle w:val="ListParagraph"/>
        <w:ind w:left="360"/>
      </w:pPr>
    </w:p>
    <w:p w14:paraId="2CC953F4" w14:textId="4CE605BB" w:rsidR="00927845" w:rsidRPr="00403DFA" w:rsidRDefault="00927845" w:rsidP="00830CB5">
      <w:pPr>
        <w:pStyle w:val="BodyTextIndent"/>
        <w:numPr>
          <w:ilvl w:val="0"/>
          <w:numId w:val="5"/>
        </w:numPr>
        <w:tabs>
          <w:tab w:val="clear" w:pos="360"/>
          <w:tab w:val="num" w:pos="0"/>
        </w:tabs>
        <w:ind w:left="720"/>
      </w:pPr>
      <w:r w:rsidRPr="00403DFA">
        <w:t>Clotrimazole 1% cream applied to affected area once daily for two weeks OR</w:t>
      </w:r>
    </w:p>
    <w:p w14:paraId="2B529A74" w14:textId="3D7C9DD0" w:rsidR="00927845" w:rsidRPr="00403DFA" w:rsidRDefault="00927845" w:rsidP="00830CB5">
      <w:pPr>
        <w:pStyle w:val="BodyTextIndent"/>
        <w:numPr>
          <w:ilvl w:val="0"/>
          <w:numId w:val="5"/>
        </w:numPr>
        <w:tabs>
          <w:tab w:val="clear" w:pos="360"/>
          <w:tab w:val="num" w:pos="0"/>
        </w:tabs>
        <w:ind w:left="720"/>
      </w:pPr>
      <w:r w:rsidRPr="00403DFA">
        <w:t>Selenium sulfide 2.5% shampoo or lotion applied daily to affected areas for 7 days. Wash off after 10 minutes.</w:t>
      </w:r>
    </w:p>
    <w:p w14:paraId="70BF1C1C" w14:textId="77777777" w:rsidR="00403DFA" w:rsidRPr="00403DFA" w:rsidRDefault="00403DFA" w:rsidP="00830CB5">
      <w:pPr>
        <w:pStyle w:val="ListParagraph"/>
        <w:ind w:left="360"/>
      </w:pPr>
    </w:p>
    <w:p w14:paraId="42E96B45" w14:textId="54A03FF4" w:rsidR="00216838" w:rsidRPr="00403DFA" w:rsidRDefault="00927845" w:rsidP="00830CB5">
      <w:pPr>
        <w:pStyle w:val="ListParagraph"/>
        <w:numPr>
          <w:ilvl w:val="0"/>
          <w:numId w:val="8"/>
        </w:numPr>
        <w:ind w:left="360"/>
      </w:pPr>
      <w:r w:rsidRPr="00403DFA">
        <w:t xml:space="preserve">Educate student that skin color change (hypo or hyperpigmentation) can continue for months despite effective treatment. </w:t>
      </w:r>
      <w:r w:rsidR="006E1558" w:rsidRPr="00403DFA">
        <w:t xml:space="preserve">  </w:t>
      </w:r>
    </w:p>
    <w:p w14:paraId="0FC4FC34" w14:textId="77777777" w:rsidR="00216838" w:rsidRPr="00403DFA" w:rsidRDefault="00B0607F" w:rsidP="00830CB5">
      <w:pPr>
        <w:pStyle w:val="ListParagraph"/>
        <w:ind w:left="360"/>
      </w:pPr>
      <w:r w:rsidRPr="00403DFA">
        <w:t xml:space="preserve"> </w:t>
      </w:r>
      <w:r w:rsidR="0063052A" w:rsidRPr="00403DFA">
        <w:t xml:space="preserve"> </w:t>
      </w:r>
    </w:p>
    <w:p w14:paraId="366A6E77" w14:textId="27310A8C" w:rsidR="00927845" w:rsidRPr="00403DFA" w:rsidRDefault="00B0607F" w:rsidP="00830CB5">
      <w:pPr>
        <w:pStyle w:val="ListParagraph"/>
        <w:numPr>
          <w:ilvl w:val="0"/>
          <w:numId w:val="8"/>
        </w:numPr>
        <w:ind w:left="360"/>
      </w:pPr>
      <w:r w:rsidRPr="00403DFA">
        <w:t>I</w:t>
      </w:r>
      <w:r w:rsidR="00927845" w:rsidRPr="00403DFA">
        <w:t xml:space="preserve">f frequent recurrence, widespread involvement or </w:t>
      </w:r>
      <w:r w:rsidRPr="00403DFA">
        <w:t>resistant cases</w:t>
      </w:r>
      <w:r w:rsidR="00927845" w:rsidRPr="00403DFA">
        <w:t xml:space="preserve"> (defined as ongoing scale and KOH positive skin scraping)</w:t>
      </w:r>
      <w:r w:rsidR="004C69CB" w:rsidRPr="00403DFA">
        <w:t>,</w:t>
      </w:r>
      <w:r w:rsidRPr="00403DFA">
        <w:t xml:space="preserve"> </w:t>
      </w:r>
      <w:r w:rsidR="00927845" w:rsidRPr="00403DFA">
        <w:t xml:space="preserve">oral treatment </w:t>
      </w:r>
      <w:r w:rsidR="00D0698D" w:rsidRPr="00403DFA">
        <w:t>options include:</w:t>
      </w:r>
    </w:p>
    <w:p w14:paraId="6B1A4AB7" w14:textId="77777777" w:rsidR="00D0698D" w:rsidRPr="00403DFA" w:rsidRDefault="00D0698D" w:rsidP="00830CB5">
      <w:pPr>
        <w:pStyle w:val="ListParagraph"/>
        <w:ind w:left="360"/>
      </w:pPr>
    </w:p>
    <w:p w14:paraId="1F6E720E" w14:textId="7CF00077" w:rsidR="00D0698D" w:rsidRPr="00403DFA" w:rsidRDefault="00D0698D" w:rsidP="00830CB5">
      <w:pPr>
        <w:pStyle w:val="BodyTextIndent"/>
        <w:numPr>
          <w:ilvl w:val="0"/>
          <w:numId w:val="5"/>
        </w:numPr>
        <w:tabs>
          <w:tab w:val="clear" w:pos="360"/>
          <w:tab w:val="num" w:pos="0"/>
        </w:tabs>
        <w:ind w:left="720"/>
      </w:pPr>
      <w:r w:rsidRPr="00403DFA">
        <w:t xml:space="preserve">Itraconazole 200 mg once daily for 5 days </w:t>
      </w:r>
      <w:r w:rsidRPr="00830CB5">
        <w:rPr>
          <w:b/>
        </w:rPr>
        <w:t>OR</w:t>
      </w:r>
    </w:p>
    <w:p w14:paraId="1E4ED908" w14:textId="057494BC" w:rsidR="00D0698D" w:rsidRPr="00403DFA" w:rsidRDefault="00D0698D" w:rsidP="00830CB5">
      <w:pPr>
        <w:pStyle w:val="BodyTextIndent"/>
        <w:numPr>
          <w:ilvl w:val="0"/>
          <w:numId w:val="5"/>
        </w:numPr>
        <w:tabs>
          <w:tab w:val="clear" w:pos="360"/>
          <w:tab w:val="num" w:pos="0"/>
        </w:tabs>
        <w:ind w:left="720"/>
      </w:pPr>
      <w:r w:rsidRPr="00403DFA">
        <w:t xml:space="preserve">Fluconazole 300 mg once per week for two weeks </w:t>
      </w:r>
    </w:p>
    <w:p w14:paraId="2C1CAD9D" w14:textId="77777777" w:rsidR="00927845" w:rsidRPr="00403DFA" w:rsidRDefault="00927845" w:rsidP="00927845">
      <w:pPr>
        <w:pStyle w:val="ListParagraph"/>
      </w:pPr>
    </w:p>
    <w:p w14:paraId="500D88C9" w14:textId="77777777" w:rsidR="00A96841" w:rsidRPr="001A4105" w:rsidRDefault="00A96841" w:rsidP="00A96841"/>
    <w:p w14:paraId="051B5265" w14:textId="4B52CE8A" w:rsidR="00A96841" w:rsidRPr="001A4105" w:rsidRDefault="00B0607F" w:rsidP="00A96841">
      <w:r w:rsidRPr="00B0607F">
        <w:rPr>
          <w:b/>
        </w:rPr>
        <w:t>Note</w:t>
      </w:r>
      <w:r w:rsidR="00FB658C">
        <w:rPr>
          <w:b/>
        </w:rPr>
        <w:t xml:space="preserve">:  </w:t>
      </w:r>
      <w:r w:rsidR="00A96841" w:rsidRPr="001A4105">
        <w:t>Students should not be excluded from class or recreational activities due to fungal skin infections.</w:t>
      </w:r>
    </w:p>
    <w:p w14:paraId="0434AD49" w14:textId="77777777" w:rsidR="00A96841" w:rsidRPr="001A4105" w:rsidRDefault="00A96841" w:rsidP="00A96841">
      <w:pPr>
        <w:pStyle w:val="BodyTextIndent"/>
        <w:ind w:left="0"/>
      </w:pPr>
    </w:p>
    <w:p w14:paraId="73E86CA8" w14:textId="77777777" w:rsidR="00A96841" w:rsidRPr="001A4105" w:rsidRDefault="00A96841" w:rsidP="00A96841">
      <w:pPr>
        <w:pStyle w:val="BodyTextIndent"/>
        <w:ind w:left="0"/>
      </w:pPr>
    </w:p>
    <w:p w14:paraId="369D7081" w14:textId="77777777" w:rsidR="00A96841" w:rsidRPr="001A4105" w:rsidRDefault="00A96841" w:rsidP="00A96841">
      <w:pPr>
        <w:pStyle w:val="BodyTextIndent"/>
        <w:ind w:left="0"/>
      </w:pPr>
      <w:r w:rsidRPr="001A4105">
        <w:rPr>
          <w:b/>
          <w:bCs w:val="0"/>
        </w:rPr>
        <w:t>WHEN TO REFER TO THE CENTER PHYSICIAN</w:t>
      </w:r>
    </w:p>
    <w:p w14:paraId="50F1C7EC" w14:textId="77777777" w:rsidR="00A96841" w:rsidRPr="001A4105" w:rsidRDefault="00A96841" w:rsidP="00A96841">
      <w:pPr>
        <w:pStyle w:val="BodyTextIndent"/>
        <w:ind w:hanging="720"/>
      </w:pPr>
    </w:p>
    <w:p w14:paraId="668F9860" w14:textId="77777777" w:rsidR="00A96841" w:rsidRPr="001A4105" w:rsidRDefault="00A96841" w:rsidP="00A96841">
      <w:pPr>
        <w:pStyle w:val="BodyTextIndent"/>
        <w:numPr>
          <w:ilvl w:val="0"/>
          <w:numId w:val="5"/>
        </w:numPr>
      </w:pPr>
      <w:r w:rsidRPr="001A4105">
        <w:t>If the rash/lesion(s) does not clear after 4 weeks of therapy</w:t>
      </w:r>
    </w:p>
    <w:p w14:paraId="2DD58D71" w14:textId="77777777" w:rsidR="00A96841" w:rsidRPr="001A4105" w:rsidRDefault="00A96841" w:rsidP="00A96841">
      <w:pPr>
        <w:pStyle w:val="BodyTextIndent"/>
        <w:numPr>
          <w:ilvl w:val="0"/>
          <w:numId w:val="5"/>
        </w:numPr>
      </w:pPr>
      <w:r w:rsidRPr="001A4105">
        <w:t>If unsure whether the diagnosis is fungal infection</w:t>
      </w:r>
    </w:p>
    <w:p w14:paraId="749FF779" w14:textId="77777777" w:rsidR="00A96841" w:rsidRPr="001A4105" w:rsidRDefault="00A96841" w:rsidP="00A96841">
      <w:pPr>
        <w:pStyle w:val="BodyTextIndent"/>
        <w:ind w:left="0"/>
      </w:pPr>
    </w:p>
    <w:sectPr w:rsidR="00A96841" w:rsidRPr="001A4105" w:rsidSect="00F36A0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B98E8" w14:textId="77777777" w:rsidR="0024542C" w:rsidRDefault="0024542C">
      <w:r>
        <w:separator/>
      </w:r>
    </w:p>
  </w:endnote>
  <w:endnote w:type="continuationSeparator" w:id="0">
    <w:p w14:paraId="71C2E527" w14:textId="77777777" w:rsidR="0024542C" w:rsidRDefault="0024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322EC" w14:textId="2CED737C" w:rsidR="00A96841" w:rsidRPr="00377188" w:rsidRDefault="003C5825" w:rsidP="00786EE9">
    <w:pPr>
      <w:pStyle w:val="Footer"/>
      <w:pBdr>
        <w:top w:val="single" w:sz="4" w:space="1" w:color="auto"/>
      </w:pBdr>
      <w:tabs>
        <w:tab w:val="clear" w:pos="4320"/>
        <w:tab w:val="clear" w:pos="8640"/>
        <w:tab w:val="right" w:pos="9360"/>
      </w:tabs>
      <w:rPr>
        <w:sz w:val="20"/>
        <w:szCs w:val="20"/>
      </w:rPr>
    </w:pPr>
    <w:r w:rsidRPr="00377188">
      <w:rPr>
        <w:sz w:val="20"/>
        <w:szCs w:val="20"/>
      </w:rPr>
      <w:t>November 2019</w:t>
    </w:r>
    <w:r w:rsidR="000B599D" w:rsidRPr="00377188">
      <w:rPr>
        <w:sz w:val="20"/>
        <w:szCs w:val="20"/>
      </w:rPr>
      <w:tab/>
    </w:r>
    <w:r w:rsidR="00377188" w:rsidRPr="00377188">
      <w:rPr>
        <w:sz w:val="20"/>
        <w:szCs w:val="20"/>
      </w:rPr>
      <w:t xml:space="preserve">Page </w:t>
    </w:r>
    <w:r w:rsidR="00377188" w:rsidRPr="00377188">
      <w:rPr>
        <w:bCs w:val="0"/>
        <w:sz w:val="20"/>
        <w:szCs w:val="20"/>
      </w:rPr>
      <w:fldChar w:fldCharType="begin"/>
    </w:r>
    <w:r w:rsidR="00377188" w:rsidRPr="00377188">
      <w:rPr>
        <w:bCs w:val="0"/>
        <w:sz w:val="20"/>
        <w:szCs w:val="20"/>
      </w:rPr>
      <w:instrText xml:space="preserve"> PAGE  \* Arabic  \* MERGEFORMAT </w:instrText>
    </w:r>
    <w:r w:rsidR="00377188" w:rsidRPr="00377188">
      <w:rPr>
        <w:bCs w:val="0"/>
        <w:sz w:val="20"/>
        <w:szCs w:val="20"/>
      </w:rPr>
      <w:fldChar w:fldCharType="separate"/>
    </w:r>
    <w:r w:rsidR="00FB658C">
      <w:rPr>
        <w:bCs w:val="0"/>
        <w:noProof/>
        <w:sz w:val="20"/>
        <w:szCs w:val="20"/>
      </w:rPr>
      <w:t>1</w:t>
    </w:r>
    <w:r w:rsidR="00377188" w:rsidRPr="00377188">
      <w:rPr>
        <w:bCs w:val="0"/>
        <w:sz w:val="20"/>
        <w:szCs w:val="20"/>
      </w:rPr>
      <w:fldChar w:fldCharType="end"/>
    </w:r>
    <w:r w:rsidR="00377188" w:rsidRPr="00377188">
      <w:rPr>
        <w:sz w:val="20"/>
        <w:szCs w:val="20"/>
      </w:rPr>
      <w:t xml:space="preserve"> of </w:t>
    </w:r>
    <w:r w:rsidR="00377188" w:rsidRPr="00377188">
      <w:rPr>
        <w:bCs w:val="0"/>
        <w:sz w:val="20"/>
        <w:szCs w:val="20"/>
      </w:rPr>
      <w:fldChar w:fldCharType="begin"/>
    </w:r>
    <w:r w:rsidR="00377188" w:rsidRPr="00377188">
      <w:rPr>
        <w:bCs w:val="0"/>
        <w:sz w:val="20"/>
        <w:szCs w:val="20"/>
      </w:rPr>
      <w:instrText xml:space="preserve"> NUMPAGES  \* Arabic  \* MERGEFORMAT </w:instrText>
    </w:r>
    <w:r w:rsidR="00377188" w:rsidRPr="00377188">
      <w:rPr>
        <w:bCs w:val="0"/>
        <w:sz w:val="20"/>
        <w:szCs w:val="20"/>
      </w:rPr>
      <w:fldChar w:fldCharType="separate"/>
    </w:r>
    <w:r w:rsidR="00FB658C">
      <w:rPr>
        <w:bCs w:val="0"/>
        <w:noProof/>
        <w:sz w:val="20"/>
        <w:szCs w:val="20"/>
      </w:rPr>
      <w:t>2</w:t>
    </w:r>
    <w:r w:rsidR="00377188" w:rsidRPr="00377188">
      <w:rPr>
        <w:bCs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A7653" w14:textId="77777777" w:rsidR="0024542C" w:rsidRDefault="0024542C">
      <w:r>
        <w:separator/>
      </w:r>
    </w:p>
  </w:footnote>
  <w:footnote w:type="continuationSeparator" w:id="0">
    <w:p w14:paraId="46E420B7" w14:textId="77777777" w:rsidR="0024542C" w:rsidRDefault="00245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6FA47" w14:textId="77777777" w:rsidR="00046456" w:rsidRPr="00046456" w:rsidRDefault="00046456" w:rsidP="00046456">
    <w:pPr>
      <w:pStyle w:val="Header"/>
      <w:pBdr>
        <w:bottom w:val="single" w:sz="4" w:space="1" w:color="auto"/>
      </w:pBdr>
      <w:rPr>
        <w:sz w:val="20"/>
        <w:szCs w:val="20"/>
      </w:rPr>
    </w:pPr>
    <w:r w:rsidRPr="00046456">
      <w:rPr>
        <w:sz w:val="20"/>
        <w:szCs w:val="20"/>
      </w:rPr>
      <w:t>Treatment Guidelines for Health Staff: Fungal Skin Infections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12F2"/>
    <w:multiLevelType w:val="hybridMultilevel"/>
    <w:tmpl w:val="26B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01F22"/>
    <w:multiLevelType w:val="hybridMultilevel"/>
    <w:tmpl w:val="2B141B66"/>
    <w:lvl w:ilvl="0" w:tplc="798082B8">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6423A2"/>
    <w:multiLevelType w:val="hybridMultilevel"/>
    <w:tmpl w:val="4A262B30"/>
    <w:lvl w:ilvl="0" w:tplc="7BB4429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3F484D"/>
    <w:multiLevelType w:val="hybridMultilevel"/>
    <w:tmpl w:val="C596B7A0"/>
    <w:lvl w:ilvl="0" w:tplc="FFFFFFFF">
      <w:start w:val="1"/>
      <w:numFmt w:val="decimal"/>
      <w:lvlText w:val="%1."/>
      <w:lvlJc w:val="left"/>
      <w:pPr>
        <w:tabs>
          <w:tab w:val="num" w:pos="360"/>
        </w:tabs>
        <w:ind w:left="360" w:hanging="360"/>
      </w:pPr>
      <w:rPr>
        <w:rFonts w:ascii="Arial" w:hAnsi="Arial"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7CE136D"/>
    <w:multiLevelType w:val="hybridMultilevel"/>
    <w:tmpl w:val="048AA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A60A30"/>
    <w:multiLevelType w:val="hybridMultilevel"/>
    <w:tmpl w:val="1442A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E04F10"/>
    <w:multiLevelType w:val="hybridMultilevel"/>
    <w:tmpl w:val="27B01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1403E"/>
    <w:multiLevelType w:val="hybridMultilevel"/>
    <w:tmpl w:val="A25AF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EB7B92"/>
    <w:multiLevelType w:val="hybridMultilevel"/>
    <w:tmpl w:val="D80E1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781A6E"/>
    <w:multiLevelType w:val="hybridMultilevel"/>
    <w:tmpl w:val="446E88FA"/>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D3486E"/>
    <w:multiLevelType w:val="hybridMultilevel"/>
    <w:tmpl w:val="F2A0ACE0"/>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2"/>
  </w:num>
  <w:num w:numId="4">
    <w:abstractNumId w:val="10"/>
  </w:num>
  <w:num w:numId="5">
    <w:abstractNumId w:val="1"/>
  </w:num>
  <w:num w:numId="6">
    <w:abstractNumId w:val="4"/>
  </w:num>
  <w:num w:numId="7">
    <w:abstractNumId w:val="8"/>
  </w:num>
  <w:num w:numId="8">
    <w:abstractNumId w:val="6"/>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04"/>
    <w:rsid w:val="00027F90"/>
    <w:rsid w:val="00034D8F"/>
    <w:rsid w:val="00046456"/>
    <w:rsid w:val="00066BB8"/>
    <w:rsid w:val="000A6C1C"/>
    <w:rsid w:val="000B3183"/>
    <w:rsid w:val="000B599D"/>
    <w:rsid w:val="001502F4"/>
    <w:rsid w:val="00187933"/>
    <w:rsid w:val="001A5118"/>
    <w:rsid w:val="001F07BC"/>
    <w:rsid w:val="00216838"/>
    <w:rsid w:val="002414A6"/>
    <w:rsid w:val="0024542C"/>
    <w:rsid w:val="002910F1"/>
    <w:rsid w:val="00293C4E"/>
    <w:rsid w:val="002B7453"/>
    <w:rsid w:val="002C7B4F"/>
    <w:rsid w:val="00321BC4"/>
    <w:rsid w:val="00353A26"/>
    <w:rsid w:val="00377188"/>
    <w:rsid w:val="003B57A6"/>
    <w:rsid w:val="003C5825"/>
    <w:rsid w:val="004027C7"/>
    <w:rsid w:val="00403DFA"/>
    <w:rsid w:val="004143F7"/>
    <w:rsid w:val="00485A18"/>
    <w:rsid w:val="004C69CB"/>
    <w:rsid w:val="004D37ED"/>
    <w:rsid w:val="00536A25"/>
    <w:rsid w:val="00555190"/>
    <w:rsid w:val="00557429"/>
    <w:rsid w:val="005E5795"/>
    <w:rsid w:val="00621A51"/>
    <w:rsid w:val="0063052A"/>
    <w:rsid w:val="006570A1"/>
    <w:rsid w:val="006624A0"/>
    <w:rsid w:val="006C5907"/>
    <w:rsid w:val="006C6EC8"/>
    <w:rsid w:val="006E1558"/>
    <w:rsid w:val="006E6AB8"/>
    <w:rsid w:val="006E768F"/>
    <w:rsid w:val="00727896"/>
    <w:rsid w:val="007469F3"/>
    <w:rsid w:val="00786EE9"/>
    <w:rsid w:val="00795174"/>
    <w:rsid w:val="00830CB5"/>
    <w:rsid w:val="008379DB"/>
    <w:rsid w:val="008E30BF"/>
    <w:rsid w:val="008E4B4B"/>
    <w:rsid w:val="008F28B2"/>
    <w:rsid w:val="008F3D1C"/>
    <w:rsid w:val="00927845"/>
    <w:rsid w:val="00A513DB"/>
    <w:rsid w:val="00A96841"/>
    <w:rsid w:val="00B0607F"/>
    <w:rsid w:val="00B53E0F"/>
    <w:rsid w:val="00BA6C55"/>
    <w:rsid w:val="00BC323C"/>
    <w:rsid w:val="00BF5F40"/>
    <w:rsid w:val="00C03056"/>
    <w:rsid w:val="00C04640"/>
    <w:rsid w:val="00C143B9"/>
    <w:rsid w:val="00C40686"/>
    <w:rsid w:val="00C638F4"/>
    <w:rsid w:val="00CD61A6"/>
    <w:rsid w:val="00CE31D3"/>
    <w:rsid w:val="00D0698D"/>
    <w:rsid w:val="00D4009C"/>
    <w:rsid w:val="00D42C5F"/>
    <w:rsid w:val="00D838B2"/>
    <w:rsid w:val="00DB2CF6"/>
    <w:rsid w:val="00DF2078"/>
    <w:rsid w:val="00E718FB"/>
    <w:rsid w:val="00E90E3F"/>
    <w:rsid w:val="00EB0503"/>
    <w:rsid w:val="00EC51E1"/>
    <w:rsid w:val="00F10334"/>
    <w:rsid w:val="00F36A04"/>
    <w:rsid w:val="00F61C97"/>
    <w:rsid w:val="00FB56AA"/>
    <w:rsid w:val="00FB658C"/>
    <w:rsid w:val="00FB7E1D"/>
    <w:rsid w:val="00FD238D"/>
    <w:rsid w:val="00FE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B9FA26"/>
  <w15:docId w15:val="{EEF226A0-9F13-40A4-A12E-FFF6A820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A04"/>
    <w:rPr>
      <w:rFonts w:ascii="Arial" w:hAnsi="Arial" w:cs="Arial"/>
      <w:bCs/>
      <w:sz w:val="24"/>
      <w:szCs w:val="24"/>
    </w:rPr>
  </w:style>
  <w:style w:type="paragraph" w:styleId="Heading1">
    <w:name w:val="heading 1"/>
    <w:basedOn w:val="Normal"/>
    <w:next w:val="Normal"/>
    <w:qFormat/>
    <w:rsid w:val="00B53E0F"/>
    <w:pPr>
      <w:keepNext/>
      <w:autoSpaceDE w:val="0"/>
      <w:autoSpaceDN w:val="0"/>
      <w:adjustRightInd w:val="0"/>
      <w:jc w:val="center"/>
      <w:outlineLvl w:val="0"/>
    </w:pPr>
    <w:rPr>
      <w:b/>
      <w:bCs w:val="0"/>
      <w:szCs w:val="28"/>
    </w:rPr>
  </w:style>
  <w:style w:type="paragraph" w:styleId="Heading2">
    <w:name w:val="heading 2"/>
    <w:basedOn w:val="Normal"/>
    <w:next w:val="Normal"/>
    <w:qFormat/>
    <w:rsid w:val="00485A18"/>
    <w:pPr>
      <w:keepNext/>
      <w:spacing w:before="240" w:after="60"/>
      <w:outlineLvl w:val="1"/>
    </w:pPr>
    <w:rPr>
      <w:b/>
      <w:i/>
      <w:iCs/>
      <w:sz w:val="28"/>
      <w:szCs w:val="28"/>
    </w:rPr>
  </w:style>
  <w:style w:type="paragraph" w:styleId="Heading3">
    <w:name w:val="heading 3"/>
    <w:basedOn w:val="Normal"/>
    <w:next w:val="Normal"/>
    <w:qFormat/>
    <w:rsid w:val="00485A18"/>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6A04"/>
    <w:pPr>
      <w:ind w:left="360"/>
    </w:pPr>
  </w:style>
  <w:style w:type="paragraph" w:styleId="Title">
    <w:name w:val="Title"/>
    <w:basedOn w:val="Normal"/>
    <w:qFormat/>
    <w:rsid w:val="00F36A04"/>
    <w:pPr>
      <w:autoSpaceDE w:val="0"/>
      <w:autoSpaceDN w:val="0"/>
      <w:adjustRightInd w:val="0"/>
      <w:jc w:val="center"/>
    </w:pPr>
    <w:rPr>
      <w:b/>
      <w:bCs w:val="0"/>
      <w:szCs w:val="36"/>
    </w:rPr>
  </w:style>
  <w:style w:type="paragraph" w:styleId="BodyText">
    <w:name w:val="Body Text"/>
    <w:basedOn w:val="Normal"/>
    <w:rsid w:val="00F36A04"/>
    <w:pPr>
      <w:autoSpaceDE w:val="0"/>
      <w:autoSpaceDN w:val="0"/>
      <w:adjustRightInd w:val="0"/>
    </w:pPr>
    <w:rPr>
      <w:sz w:val="20"/>
    </w:rPr>
  </w:style>
  <w:style w:type="paragraph" w:styleId="BodyTextIndent2">
    <w:name w:val="Body Text Indent 2"/>
    <w:basedOn w:val="Normal"/>
    <w:rsid w:val="00F36A04"/>
    <w:pPr>
      <w:ind w:left="720" w:hanging="720"/>
    </w:pPr>
    <w:rPr>
      <w:rFonts w:cs="Times New Roman"/>
      <w:szCs w:val="20"/>
    </w:rPr>
  </w:style>
  <w:style w:type="paragraph" w:styleId="Header">
    <w:name w:val="header"/>
    <w:basedOn w:val="Normal"/>
    <w:rsid w:val="00353A26"/>
    <w:pPr>
      <w:tabs>
        <w:tab w:val="center" w:pos="4320"/>
        <w:tab w:val="right" w:pos="8640"/>
      </w:tabs>
    </w:pPr>
  </w:style>
  <w:style w:type="paragraph" w:styleId="Footer">
    <w:name w:val="footer"/>
    <w:basedOn w:val="Normal"/>
    <w:rsid w:val="00353A26"/>
    <w:pPr>
      <w:tabs>
        <w:tab w:val="center" w:pos="4320"/>
        <w:tab w:val="right" w:pos="8640"/>
      </w:tabs>
    </w:pPr>
  </w:style>
  <w:style w:type="character" w:styleId="PageNumber">
    <w:name w:val="page number"/>
    <w:basedOn w:val="DefaultParagraphFont"/>
    <w:rsid w:val="00353A26"/>
  </w:style>
  <w:style w:type="paragraph" w:styleId="BodyText2">
    <w:name w:val="Body Text 2"/>
    <w:basedOn w:val="Normal"/>
    <w:rsid w:val="00E718FB"/>
    <w:pPr>
      <w:spacing w:after="120" w:line="480" w:lineRule="auto"/>
    </w:pPr>
  </w:style>
  <w:style w:type="paragraph" w:styleId="FootnoteText">
    <w:name w:val="footnote text"/>
    <w:basedOn w:val="Normal"/>
    <w:semiHidden/>
    <w:rsid w:val="00621A51"/>
    <w:pPr>
      <w:widowControl w:val="0"/>
      <w:autoSpaceDE w:val="0"/>
      <w:autoSpaceDN w:val="0"/>
      <w:adjustRightInd w:val="0"/>
    </w:pPr>
    <w:rPr>
      <w:szCs w:val="20"/>
    </w:rPr>
  </w:style>
  <w:style w:type="character" w:styleId="CommentReference">
    <w:name w:val="annotation reference"/>
    <w:basedOn w:val="DefaultParagraphFont"/>
    <w:rsid w:val="00CE31D3"/>
    <w:rPr>
      <w:sz w:val="16"/>
      <w:szCs w:val="16"/>
    </w:rPr>
  </w:style>
  <w:style w:type="paragraph" w:styleId="CommentText">
    <w:name w:val="annotation text"/>
    <w:basedOn w:val="Normal"/>
    <w:link w:val="CommentTextChar"/>
    <w:rsid w:val="00CE31D3"/>
    <w:rPr>
      <w:sz w:val="20"/>
      <w:szCs w:val="20"/>
    </w:rPr>
  </w:style>
  <w:style w:type="character" w:customStyle="1" w:styleId="CommentTextChar">
    <w:name w:val="Comment Text Char"/>
    <w:basedOn w:val="DefaultParagraphFont"/>
    <w:link w:val="CommentText"/>
    <w:rsid w:val="00CE31D3"/>
    <w:rPr>
      <w:rFonts w:ascii="Arial" w:hAnsi="Arial" w:cs="Arial"/>
      <w:bCs/>
    </w:rPr>
  </w:style>
  <w:style w:type="paragraph" w:styleId="CommentSubject">
    <w:name w:val="annotation subject"/>
    <w:basedOn w:val="CommentText"/>
    <w:next w:val="CommentText"/>
    <w:link w:val="CommentSubjectChar"/>
    <w:rsid w:val="00CE31D3"/>
    <w:rPr>
      <w:b/>
    </w:rPr>
  </w:style>
  <w:style w:type="character" w:customStyle="1" w:styleId="CommentSubjectChar">
    <w:name w:val="Comment Subject Char"/>
    <w:basedOn w:val="CommentTextChar"/>
    <w:link w:val="CommentSubject"/>
    <w:rsid w:val="00CE31D3"/>
    <w:rPr>
      <w:rFonts w:ascii="Arial" w:hAnsi="Arial" w:cs="Arial"/>
      <w:b/>
      <w:bCs/>
    </w:rPr>
  </w:style>
  <w:style w:type="paragraph" w:styleId="BalloonText">
    <w:name w:val="Balloon Text"/>
    <w:basedOn w:val="Normal"/>
    <w:link w:val="BalloonTextChar"/>
    <w:rsid w:val="00CE31D3"/>
    <w:rPr>
      <w:rFonts w:ascii="Tahoma" w:hAnsi="Tahoma" w:cs="Tahoma"/>
      <w:sz w:val="16"/>
      <w:szCs w:val="16"/>
    </w:rPr>
  </w:style>
  <w:style w:type="character" w:customStyle="1" w:styleId="BalloonTextChar">
    <w:name w:val="Balloon Text Char"/>
    <w:basedOn w:val="DefaultParagraphFont"/>
    <w:link w:val="BalloonText"/>
    <w:rsid w:val="00CE31D3"/>
    <w:rPr>
      <w:rFonts w:ascii="Tahoma" w:hAnsi="Tahoma" w:cs="Tahoma"/>
      <w:bCs/>
      <w:sz w:val="16"/>
      <w:szCs w:val="16"/>
    </w:rPr>
  </w:style>
  <w:style w:type="paragraph" w:styleId="ListParagraph">
    <w:name w:val="List Paragraph"/>
    <w:basedOn w:val="Normal"/>
    <w:uiPriority w:val="34"/>
    <w:qFormat/>
    <w:rsid w:val="008F3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XRUYQT3274NZ-681238054-1462</_dlc_DocId>
    <_dlc_DocIdUrl xmlns="b22f8f74-215c-4154-9939-bd29e4e8980e">
      <Url>https://supportservices.jobcorps.gov/health/_layouts/15/DocIdRedir.aspx?ID=XRUYQT3274NZ-681238054-1462</Url>
      <Description>XRUYQT3274NZ-681238054-1462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7188C2-D3F7-4676-A169-5632260E8A6D}"/>
</file>

<file path=customXml/itemProps2.xml><?xml version="1.0" encoding="utf-8"?>
<ds:datastoreItem xmlns:ds="http://schemas.openxmlformats.org/officeDocument/2006/customXml" ds:itemID="{FA3E2EE3-7C96-423D-BAEE-1B877E1816A5}"/>
</file>

<file path=customXml/itemProps3.xml><?xml version="1.0" encoding="utf-8"?>
<ds:datastoreItem xmlns:ds="http://schemas.openxmlformats.org/officeDocument/2006/customXml" ds:itemID="{A0F241E6-084F-4E51-9E2B-4868D5C68B23}"/>
</file>

<file path=customXml/itemProps4.xml><?xml version="1.0" encoding="utf-8"?>
<ds:datastoreItem xmlns:ds="http://schemas.openxmlformats.org/officeDocument/2006/customXml" ds:itemID="{765D1C63-06E1-4CA4-B61C-511B5A784238}"/>
</file>

<file path=docProps/app.xml><?xml version="1.0" encoding="utf-8"?>
<Properties xmlns="http://schemas.openxmlformats.org/officeDocument/2006/extended-properties" xmlns:vt="http://schemas.openxmlformats.org/officeDocument/2006/docPropsVTypes">
  <Template>Normal.dotm</Template>
  <TotalTime>10</TotalTime>
  <Pages>2</Pages>
  <Words>587</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TREATMENT GUIDELINES FOR HEALTH STAFF</vt:lpstr>
    </vt:vector>
  </TitlesOfParts>
  <Company>Humanitas, Inc.</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GUIDELINES FOR HEALTH STAFF</dc:title>
  <dc:creator>jdavis</dc:creator>
  <cp:lastModifiedBy>Carolina Valdenegro</cp:lastModifiedBy>
  <cp:revision>9</cp:revision>
  <dcterms:created xsi:type="dcterms:W3CDTF">2019-11-14T05:37:00Z</dcterms:created>
  <dcterms:modified xsi:type="dcterms:W3CDTF">2019-11-22T20:21:00Z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c6848c62-c402-40b3-9dbe-7af094df81f5</vt:lpwstr>
  </property>
</Properties>
</file>