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2356F" w14:textId="14272314" w:rsidR="009D5BE2" w:rsidRPr="009D5BE2" w:rsidRDefault="009D5BE2" w:rsidP="00432DC9">
      <w:pPr>
        <w:pStyle w:val="BodyText"/>
        <w:shd w:val="clear" w:color="auto" w:fill="D9D9D9"/>
        <w:spacing w:before="100" w:beforeAutospacing="1" w:after="100" w:afterAutospacing="1"/>
        <w:jc w:val="center"/>
        <w:rPr>
          <w:b/>
          <w:bCs w:val="0"/>
          <w:sz w:val="24"/>
        </w:rPr>
      </w:pPr>
      <w:r w:rsidRPr="009D5BE2">
        <w:rPr>
          <w:b/>
          <w:bCs w:val="0"/>
          <w:sz w:val="24"/>
        </w:rPr>
        <w:t>TREATMENT GUIDELINES FOR HEALTH STAFF</w:t>
      </w:r>
    </w:p>
    <w:p w14:paraId="0F18A09E" w14:textId="77777777" w:rsidR="009D5BE2" w:rsidRPr="009D5BE2" w:rsidRDefault="009D5BE2" w:rsidP="00432DC9">
      <w:pPr>
        <w:pStyle w:val="BodyText"/>
        <w:shd w:val="clear" w:color="auto" w:fill="D9D9D9"/>
        <w:spacing w:before="100" w:beforeAutospacing="1" w:after="100" w:afterAutospacing="1"/>
        <w:jc w:val="center"/>
        <w:rPr>
          <w:b/>
          <w:bCs w:val="0"/>
          <w:sz w:val="24"/>
        </w:rPr>
      </w:pPr>
      <w:r w:rsidRPr="009D5BE2">
        <w:rPr>
          <w:b/>
          <w:bCs w:val="0"/>
          <w:sz w:val="24"/>
        </w:rPr>
        <w:t>WARTS (EXTERNAL GENITAL)</w:t>
      </w:r>
    </w:p>
    <w:p w14:paraId="49737C82" w14:textId="77777777" w:rsidR="009D5BE2" w:rsidRPr="009D5BE2" w:rsidRDefault="009D5BE2" w:rsidP="009D5BE2">
      <w:pPr>
        <w:pStyle w:val="BodyText"/>
        <w:rPr>
          <w:sz w:val="24"/>
        </w:rPr>
      </w:pPr>
    </w:p>
    <w:p w14:paraId="34821C67" w14:textId="7D2FF45E" w:rsidR="009D5BE2" w:rsidRPr="009D5BE2" w:rsidRDefault="009D5BE2" w:rsidP="009D5BE2">
      <w:r w:rsidRPr="009D5BE2">
        <w:t>Authorized health and wellness staff may treat external genital warts as follows:</w:t>
      </w:r>
    </w:p>
    <w:p w14:paraId="4FE5663D" w14:textId="73A4B1D5" w:rsidR="009D5BE2" w:rsidRPr="0090070B" w:rsidRDefault="009D5BE2" w:rsidP="0090070B">
      <w:pPr>
        <w:pStyle w:val="BodyText2"/>
        <w:numPr>
          <w:ilvl w:val="0"/>
          <w:numId w:val="26"/>
        </w:numPr>
        <w:spacing w:before="240" w:after="0" w:line="240" w:lineRule="auto"/>
        <w:rPr>
          <w:bCs w:val="0"/>
        </w:rPr>
      </w:pPr>
      <w:r w:rsidRPr="009D5BE2">
        <w:rPr>
          <w:bCs w:val="0"/>
        </w:rPr>
        <w:t>Student-administered imiquimod 5% cream (</w:t>
      </w:r>
      <w:proofErr w:type="spellStart"/>
      <w:r w:rsidRPr="009D5BE2">
        <w:rPr>
          <w:bCs w:val="0"/>
        </w:rPr>
        <w:t>Aldara</w:t>
      </w:r>
      <w:proofErr w:type="spellEnd"/>
      <w:r w:rsidRPr="009D5BE2">
        <w:rPr>
          <w:bCs w:val="0"/>
        </w:rPr>
        <w:t>) applied once daily at bedtime three times per week for up to 16 weeks.  Instruct student to wash treated areas with soap and water 6-10 hours after treatment or next morning.  Instruct student to discontinue treatment and return for evaluation if skin irritation or rash occurs.</w:t>
      </w:r>
    </w:p>
    <w:p w14:paraId="381F2B25" w14:textId="6A989F77" w:rsidR="001E0A02" w:rsidRDefault="009D5BE2" w:rsidP="0090070B">
      <w:pPr>
        <w:pStyle w:val="BodyText2"/>
        <w:numPr>
          <w:ilvl w:val="0"/>
          <w:numId w:val="26"/>
        </w:numPr>
        <w:spacing w:before="240" w:after="0" w:line="240" w:lineRule="auto"/>
        <w:rPr>
          <w:bCs w:val="0"/>
        </w:rPr>
      </w:pPr>
      <w:r w:rsidRPr="009D5BE2">
        <w:rPr>
          <w:bCs w:val="0"/>
        </w:rPr>
        <w:t>Alternative treatment</w:t>
      </w:r>
      <w:r w:rsidR="001E0A02">
        <w:rPr>
          <w:bCs w:val="0"/>
        </w:rPr>
        <w:t>s include provider-a</w:t>
      </w:r>
      <w:r w:rsidR="00491E1E">
        <w:rPr>
          <w:bCs w:val="0"/>
        </w:rPr>
        <w:t>dministered</w:t>
      </w:r>
      <w:r w:rsidR="001E0A02">
        <w:rPr>
          <w:bCs w:val="0"/>
        </w:rPr>
        <w:t>:</w:t>
      </w:r>
    </w:p>
    <w:p w14:paraId="2E902015" w14:textId="00B18FBD" w:rsidR="009D5BE2" w:rsidRDefault="001E0A02" w:rsidP="0090070B">
      <w:pPr>
        <w:pStyle w:val="BodyText2"/>
        <w:numPr>
          <w:ilvl w:val="1"/>
          <w:numId w:val="26"/>
        </w:numPr>
        <w:tabs>
          <w:tab w:val="clear" w:pos="1440"/>
          <w:tab w:val="num" w:pos="1080"/>
        </w:tabs>
        <w:spacing w:before="120" w:after="0" w:line="240" w:lineRule="auto"/>
        <w:ind w:left="1080"/>
        <w:rPr>
          <w:bCs w:val="0"/>
        </w:rPr>
      </w:pPr>
      <w:r>
        <w:rPr>
          <w:bCs w:val="0"/>
        </w:rPr>
        <w:t>T</w:t>
      </w:r>
      <w:r w:rsidR="009D5BE2" w:rsidRPr="001E0A02">
        <w:rPr>
          <w:bCs w:val="0"/>
        </w:rPr>
        <w:t>richloroacetic acid (TCA) 80%-90%, repeated weekly as necessary</w:t>
      </w:r>
    </w:p>
    <w:p w14:paraId="05CA85CB" w14:textId="2B6369D5" w:rsidR="001E0A02" w:rsidRDefault="001E0A02" w:rsidP="0090070B">
      <w:pPr>
        <w:pStyle w:val="BodyText2"/>
        <w:numPr>
          <w:ilvl w:val="1"/>
          <w:numId w:val="26"/>
        </w:numPr>
        <w:tabs>
          <w:tab w:val="clear" w:pos="1440"/>
          <w:tab w:val="num" w:pos="1080"/>
        </w:tabs>
        <w:spacing w:before="120" w:after="0" w:line="240" w:lineRule="auto"/>
        <w:ind w:left="1080"/>
        <w:rPr>
          <w:bCs w:val="0"/>
        </w:rPr>
      </w:pPr>
      <w:r>
        <w:rPr>
          <w:bCs w:val="0"/>
        </w:rPr>
        <w:t>Cryotherapy</w:t>
      </w:r>
    </w:p>
    <w:p w14:paraId="6A2B8B03" w14:textId="54550FB4" w:rsidR="009D5BE2" w:rsidRPr="0090070B" w:rsidRDefault="001E0A02" w:rsidP="0090070B">
      <w:pPr>
        <w:pStyle w:val="BodyText2"/>
        <w:numPr>
          <w:ilvl w:val="1"/>
          <w:numId w:val="26"/>
        </w:numPr>
        <w:tabs>
          <w:tab w:val="clear" w:pos="1440"/>
          <w:tab w:val="num" w:pos="1080"/>
        </w:tabs>
        <w:spacing w:before="120" w:after="0" w:line="240" w:lineRule="auto"/>
        <w:ind w:left="1080"/>
        <w:rPr>
          <w:bCs w:val="0"/>
        </w:rPr>
      </w:pPr>
      <w:r>
        <w:rPr>
          <w:bCs w:val="0"/>
        </w:rPr>
        <w:t>Surgical excision/curettage/laser</w:t>
      </w:r>
    </w:p>
    <w:p w14:paraId="20416DF2" w14:textId="690AA668" w:rsidR="009D5BE2" w:rsidRPr="0090070B" w:rsidRDefault="009D5BE2" w:rsidP="0090070B">
      <w:pPr>
        <w:pStyle w:val="BodyText2"/>
        <w:numPr>
          <w:ilvl w:val="0"/>
          <w:numId w:val="26"/>
        </w:numPr>
        <w:spacing w:before="240" w:after="0" w:line="240" w:lineRule="auto"/>
        <w:rPr>
          <w:bCs w:val="0"/>
        </w:rPr>
      </w:pPr>
      <w:r w:rsidRPr="009D5BE2">
        <w:rPr>
          <w:bCs w:val="0"/>
        </w:rPr>
        <w:t>Discuss contact(s) tr</w:t>
      </w:r>
      <w:r w:rsidR="00DB511A">
        <w:rPr>
          <w:bCs w:val="0"/>
        </w:rPr>
        <w:t>eatment, screening for other STI</w:t>
      </w:r>
      <w:r w:rsidRPr="009D5BE2">
        <w:rPr>
          <w:bCs w:val="0"/>
        </w:rPr>
        <w:t>s as appropriate, health department reporting req</w:t>
      </w:r>
      <w:r w:rsidR="00DB511A">
        <w:rPr>
          <w:bCs w:val="0"/>
        </w:rPr>
        <w:t>uirements, and prevention of STI</w:t>
      </w:r>
      <w:r w:rsidRPr="009D5BE2">
        <w:rPr>
          <w:bCs w:val="0"/>
        </w:rPr>
        <w:t>s and pregnancy (offer condoms and contraceptives as appropriate).</w:t>
      </w:r>
    </w:p>
    <w:p w14:paraId="34951BEF" w14:textId="6FC5B94D" w:rsidR="009D5BE2" w:rsidRPr="0090070B" w:rsidRDefault="009D5BE2" w:rsidP="0090070B">
      <w:pPr>
        <w:pStyle w:val="BodyText2"/>
        <w:numPr>
          <w:ilvl w:val="0"/>
          <w:numId w:val="26"/>
        </w:numPr>
        <w:spacing w:before="240" w:after="0" w:line="240" w:lineRule="auto"/>
        <w:rPr>
          <w:bCs w:val="0"/>
        </w:rPr>
      </w:pPr>
      <w:r w:rsidRPr="009D5BE2">
        <w:rPr>
          <w:bCs w:val="0"/>
        </w:rPr>
        <w:t>Pregnant students with genital warts should be referred to an obstetrician-gynecologist for treatment, as cesarean delivery may be indicated.</w:t>
      </w:r>
    </w:p>
    <w:p w14:paraId="575D5DA4" w14:textId="77777777" w:rsidR="009D5BE2" w:rsidRPr="009D5BE2" w:rsidRDefault="009D5BE2" w:rsidP="0090070B">
      <w:pPr>
        <w:pStyle w:val="BodyText2"/>
        <w:numPr>
          <w:ilvl w:val="0"/>
          <w:numId w:val="26"/>
        </w:numPr>
        <w:spacing w:before="240" w:after="0" w:line="240" w:lineRule="auto"/>
        <w:rPr>
          <w:bCs w:val="0"/>
        </w:rPr>
      </w:pPr>
      <w:r w:rsidRPr="009D5BE2">
        <w:rPr>
          <w:bCs w:val="0"/>
        </w:rPr>
        <w:t>Sex partners with no visible genital warts should be counseled but need not be treated.</w:t>
      </w:r>
    </w:p>
    <w:p w14:paraId="33DE30CC" w14:textId="77777777" w:rsidR="009D5BE2" w:rsidRPr="009D5BE2" w:rsidRDefault="009D5BE2" w:rsidP="009D5BE2">
      <w:pPr>
        <w:pStyle w:val="BodyText2"/>
        <w:spacing w:after="0" w:line="240" w:lineRule="auto"/>
        <w:rPr>
          <w:bCs w:val="0"/>
        </w:rPr>
      </w:pPr>
    </w:p>
    <w:p w14:paraId="6E02E23D" w14:textId="77777777" w:rsidR="009D5BE2" w:rsidRPr="009D5BE2" w:rsidRDefault="009D5BE2" w:rsidP="009D5BE2">
      <w:pPr>
        <w:pStyle w:val="BodyText2"/>
        <w:spacing w:after="0" w:line="240" w:lineRule="auto"/>
        <w:rPr>
          <w:b/>
          <w:bCs w:val="0"/>
        </w:rPr>
      </w:pPr>
    </w:p>
    <w:p w14:paraId="7FAE4015" w14:textId="77777777" w:rsidR="009D5BE2" w:rsidRPr="009D5BE2" w:rsidRDefault="009D5BE2" w:rsidP="009D5BE2">
      <w:pPr>
        <w:pStyle w:val="BodyText2"/>
        <w:spacing w:after="0" w:line="240" w:lineRule="auto"/>
        <w:rPr>
          <w:b/>
        </w:rPr>
      </w:pPr>
      <w:r w:rsidRPr="009D5BE2">
        <w:rPr>
          <w:b/>
        </w:rPr>
        <w:t>WHEN TO REFER TO THE CENTER PHYSICIAN</w:t>
      </w:r>
    </w:p>
    <w:p w14:paraId="5ADD64A2" w14:textId="77777777" w:rsidR="009D5BE2" w:rsidRPr="009D5BE2" w:rsidRDefault="009D5BE2" w:rsidP="009D5BE2">
      <w:pPr>
        <w:pStyle w:val="BodyText2"/>
        <w:spacing w:after="0" w:line="240" w:lineRule="auto"/>
        <w:rPr>
          <w:bCs w:val="0"/>
        </w:rPr>
      </w:pPr>
    </w:p>
    <w:p w14:paraId="7A6A7031" w14:textId="77777777" w:rsidR="009D5BE2" w:rsidRPr="009D5BE2" w:rsidRDefault="009D5BE2" w:rsidP="00BB3BA6">
      <w:pPr>
        <w:numPr>
          <w:ilvl w:val="0"/>
          <w:numId w:val="24"/>
        </w:numPr>
        <w:spacing w:before="240"/>
        <w:rPr>
          <w:szCs w:val="28"/>
        </w:rPr>
      </w:pPr>
      <w:r w:rsidRPr="009D5BE2">
        <w:rPr>
          <w:szCs w:val="28"/>
        </w:rPr>
        <w:t>If the student has symptoms suggestive of another sexually transmitted infection</w:t>
      </w:r>
    </w:p>
    <w:p w14:paraId="605F03BB" w14:textId="77777777" w:rsidR="009D5BE2" w:rsidRPr="009D5BE2" w:rsidRDefault="009D5BE2" w:rsidP="00BB3BA6">
      <w:pPr>
        <w:numPr>
          <w:ilvl w:val="0"/>
          <w:numId w:val="24"/>
        </w:numPr>
        <w:spacing w:before="240"/>
      </w:pPr>
      <w:r w:rsidRPr="009D5BE2">
        <w:rPr>
          <w:szCs w:val="28"/>
        </w:rPr>
        <w:t>If the student has warts on the vagina, cervix, anus, rectum, or urethral meatus</w:t>
      </w:r>
    </w:p>
    <w:p w14:paraId="381F078F" w14:textId="77777777" w:rsidR="000E671D" w:rsidRPr="009D5BE2" w:rsidRDefault="000E671D" w:rsidP="009D5BE2"/>
    <w:sectPr w:rsidR="000E671D" w:rsidRPr="009D5BE2" w:rsidSect="00F36A04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393CA" w14:textId="77777777" w:rsidR="00DB7A52" w:rsidRDefault="00DB7A52">
      <w:r>
        <w:separator/>
      </w:r>
    </w:p>
  </w:endnote>
  <w:endnote w:type="continuationSeparator" w:id="0">
    <w:p w14:paraId="12F58CF8" w14:textId="77777777" w:rsidR="00DB7A52" w:rsidRDefault="00DB7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5ADFF" w14:textId="1012B7C8" w:rsidR="009D5BE2" w:rsidRPr="00487D02" w:rsidRDefault="00830F00" w:rsidP="00C64E82">
    <w:pPr>
      <w:pStyle w:val="Footer"/>
      <w:pBdr>
        <w:top w:val="single" w:sz="4" w:space="1" w:color="auto"/>
      </w:pBdr>
      <w:tabs>
        <w:tab w:val="clear" w:pos="4320"/>
        <w:tab w:val="clear" w:pos="8640"/>
      </w:tabs>
      <w:rPr>
        <w:sz w:val="20"/>
        <w:szCs w:val="20"/>
      </w:rPr>
    </w:pPr>
    <w:r>
      <w:rPr>
        <w:sz w:val="20"/>
        <w:szCs w:val="20"/>
      </w:rPr>
      <w:t>August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11211" w14:textId="77777777" w:rsidR="00DB7A52" w:rsidRDefault="00DB7A52">
      <w:r>
        <w:separator/>
      </w:r>
    </w:p>
  </w:footnote>
  <w:footnote w:type="continuationSeparator" w:id="0">
    <w:p w14:paraId="085D95F5" w14:textId="77777777" w:rsidR="00DB7A52" w:rsidRDefault="00DB7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85A9D"/>
    <w:multiLevelType w:val="hybridMultilevel"/>
    <w:tmpl w:val="716241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AF1A82"/>
    <w:multiLevelType w:val="hybridMultilevel"/>
    <w:tmpl w:val="277665DE"/>
    <w:lvl w:ilvl="0" w:tplc="7660AF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C64BA"/>
    <w:multiLevelType w:val="hybridMultilevel"/>
    <w:tmpl w:val="F42CF1E4"/>
    <w:lvl w:ilvl="0" w:tplc="7660AF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5E4A2E"/>
    <w:multiLevelType w:val="hybridMultilevel"/>
    <w:tmpl w:val="70DE65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E97E64"/>
    <w:multiLevelType w:val="hybridMultilevel"/>
    <w:tmpl w:val="4546F0D6"/>
    <w:lvl w:ilvl="0" w:tplc="7660AF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17C68"/>
    <w:multiLevelType w:val="hybridMultilevel"/>
    <w:tmpl w:val="CEB6D7E6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76E83"/>
    <w:multiLevelType w:val="hybridMultilevel"/>
    <w:tmpl w:val="F2D227B0"/>
    <w:lvl w:ilvl="0" w:tplc="838AE8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6B72E4"/>
    <w:multiLevelType w:val="hybridMultilevel"/>
    <w:tmpl w:val="D4929A84"/>
    <w:lvl w:ilvl="0" w:tplc="838AE8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833A02"/>
    <w:multiLevelType w:val="hybridMultilevel"/>
    <w:tmpl w:val="42C0524C"/>
    <w:lvl w:ilvl="0" w:tplc="7660AF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3E1E1A"/>
    <w:multiLevelType w:val="hybridMultilevel"/>
    <w:tmpl w:val="79263302"/>
    <w:lvl w:ilvl="0" w:tplc="4CD61B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337710"/>
    <w:multiLevelType w:val="hybridMultilevel"/>
    <w:tmpl w:val="B4F8319C"/>
    <w:lvl w:ilvl="0" w:tplc="00AE4E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  <w:lvl w:ilvl="1" w:tplc="9F72598C"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Arial" w:hint="default"/>
        <w:b/>
        <w:u w:val="single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1441B0"/>
    <w:multiLevelType w:val="hybridMultilevel"/>
    <w:tmpl w:val="91B2F740"/>
    <w:lvl w:ilvl="0" w:tplc="7660AF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1E01E5A"/>
    <w:multiLevelType w:val="hybridMultilevel"/>
    <w:tmpl w:val="2EA2765C"/>
    <w:lvl w:ilvl="0" w:tplc="F9A4C5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80E351F"/>
    <w:multiLevelType w:val="hybridMultilevel"/>
    <w:tmpl w:val="69EC014E"/>
    <w:lvl w:ilvl="0" w:tplc="72406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781037"/>
    <w:multiLevelType w:val="hybridMultilevel"/>
    <w:tmpl w:val="85766F22"/>
    <w:lvl w:ilvl="0" w:tplc="7660AF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2BC77E3"/>
    <w:multiLevelType w:val="hybridMultilevel"/>
    <w:tmpl w:val="35A6A3F4"/>
    <w:lvl w:ilvl="0" w:tplc="BC0A805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660AF4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25319E"/>
    <w:multiLevelType w:val="hybridMultilevel"/>
    <w:tmpl w:val="4F26FA18"/>
    <w:lvl w:ilvl="0" w:tplc="096E3E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564970"/>
    <w:multiLevelType w:val="hybridMultilevel"/>
    <w:tmpl w:val="C504BB7E"/>
    <w:lvl w:ilvl="0" w:tplc="B2A287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798082B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833637"/>
    <w:multiLevelType w:val="hybridMultilevel"/>
    <w:tmpl w:val="2A021900"/>
    <w:lvl w:ilvl="0" w:tplc="838AE8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CC37D72"/>
    <w:multiLevelType w:val="hybridMultilevel"/>
    <w:tmpl w:val="93A8F672"/>
    <w:lvl w:ilvl="0" w:tplc="7660AF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9D05E1"/>
    <w:multiLevelType w:val="hybridMultilevel"/>
    <w:tmpl w:val="C504BB7E"/>
    <w:lvl w:ilvl="0" w:tplc="798082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798082B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5856C2B"/>
    <w:multiLevelType w:val="hybridMultilevel"/>
    <w:tmpl w:val="112E964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660AF4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6E5232D"/>
    <w:multiLevelType w:val="hybridMultilevel"/>
    <w:tmpl w:val="7A185C3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AF4AAE"/>
    <w:multiLevelType w:val="hybridMultilevel"/>
    <w:tmpl w:val="6160082A"/>
    <w:lvl w:ilvl="0" w:tplc="7660AF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A57A60"/>
    <w:multiLevelType w:val="hybridMultilevel"/>
    <w:tmpl w:val="19CAE034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0A140A"/>
    <w:multiLevelType w:val="hybridMultilevel"/>
    <w:tmpl w:val="DB700AEA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</w:num>
  <w:num w:numId="3">
    <w:abstractNumId w:val="2"/>
  </w:num>
  <w:num w:numId="4">
    <w:abstractNumId w:val="25"/>
  </w:num>
  <w:num w:numId="5">
    <w:abstractNumId w:val="15"/>
  </w:num>
  <w:num w:numId="6">
    <w:abstractNumId w:val="11"/>
  </w:num>
  <w:num w:numId="7">
    <w:abstractNumId w:val="21"/>
  </w:num>
  <w:num w:numId="8">
    <w:abstractNumId w:val="23"/>
  </w:num>
  <w:num w:numId="9">
    <w:abstractNumId w:val="12"/>
  </w:num>
  <w:num w:numId="10">
    <w:abstractNumId w:val="8"/>
  </w:num>
  <w:num w:numId="11">
    <w:abstractNumId w:val="17"/>
  </w:num>
  <w:num w:numId="12">
    <w:abstractNumId w:val="20"/>
  </w:num>
  <w:num w:numId="13">
    <w:abstractNumId w:val="7"/>
  </w:num>
  <w:num w:numId="14">
    <w:abstractNumId w:val="19"/>
  </w:num>
  <w:num w:numId="15">
    <w:abstractNumId w:val="6"/>
  </w:num>
  <w:num w:numId="16">
    <w:abstractNumId w:val="4"/>
  </w:num>
  <w:num w:numId="17">
    <w:abstractNumId w:val="13"/>
  </w:num>
  <w:num w:numId="18">
    <w:abstractNumId w:val="10"/>
  </w:num>
  <w:num w:numId="19">
    <w:abstractNumId w:val="5"/>
  </w:num>
  <w:num w:numId="20">
    <w:abstractNumId w:val="16"/>
  </w:num>
  <w:num w:numId="21">
    <w:abstractNumId w:val="22"/>
  </w:num>
  <w:num w:numId="22">
    <w:abstractNumId w:val="18"/>
  </w:num>
  <w:num w:numId="23">
    <w:abstractNumId w:val="1"/>
  </w:num>
  <w:num w:numId="24">
    <w:abstractNumId w:val="9"/>
  </w:num>
  <w:num w:numId="25">
    <w:abstractNumId w:val="3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A04"/>
    <w:rsid w:val="00050AD6"/>
    <w:rsid w:val="00066BB8"/>
    <w:rsid w:val="00073F90"/>
    <w:rsid w:val="000B0553"/>
    <w:rsid w:val="000B3183"/>
    <w:rsid w:val="000E671D"/>
    <w:rsid w:val="000F1691"/>
    <w:rsid w:val="00113AE1"/>
    <w:rsid w:val="00142A85"/>
    <w:rsid w:val="001502F4"/>
    <w:rsid w:val="0018255C"/>
    <w:rsid w:val="00185C7F"/>
    <w:rsid w:val="00187933"/>
    <w:rsid w:val="001E0A02"/>
    <w:rsid w:val="001F07BC"/>
    <w:rsid w:val="002414A6"/>
    <w:rsid w:val="00251CC2"/>
    <w:rsid w:val="00252260"/>
    <w:rsid w:val="00273BEC"/>
    <w:rsid w:val="00293C4E"/>
    <w:rsid w:val="002B7453"/>
    <w:rsid w:val="002F53D8"/>
    <w:rsid w:val="003464BA"/>
    <w:rsid w:val="00353695"/>
    <w:rsid w:val="00353A26"/>
    <w:rsid w:val="003E76B8"/>
    <w:rsid w:val="003F760A"/>
    <w:rsid w:val="004027C7"/>
    <w:rsid w:val="00432DC9"/>
    <w:rsid w:val="004677A8"/>
    <w:rsid w:val="00485A18"/>
    <w:rsid w:val="00487D02"/>
    <w:rsid w:val="00491E1E"/>
    <w:rsid w:val="004E6FDC"/>
    <w:rsid w:val="0051312A"/>
    <w:rsid w:val="00522932"/>
    <w:rsid w:val="00555190"/>
    <w:rsid w:val="005B58D9"/>
    <w:rsid w:val="005E6FC9"/>
    <w:rsid w:val="00621A51"/>
    <w:rsid w:val="006624A0"/>
    <w:rsid w:val="006652F7"/>
    <w:rsid w:val="006B5BF5"/>
    <w:rsid w:val="006C1DBF"/>
    <w:rsid w:val="006C5907"/>
    <w:rsid w:val="006D758E"/>
    <w:rsid w:val="006E6AB8"/>
    <w:rsid w:val="006E768F"/>
    <w:rsid w:val="00702D83"/>
    <w:rsid w:val="007037BF"/>
    <w:rsid w:val="00732C74"/>
    <w:rsid w:val="007B553C"/>
    <w:rsid w:val="00830F00"/>
    <w:rsid w:val="008379DB"/>
    <w:rsid w:val="0084556F"/>
    <w:rsid w:val="00860550"/>
    <w:rsid w:val="008923D5"/>
    <w:rsid w:val="008B09BC"/>
    <w:rsid w:val="008F21B9"/>
    <w:rsid w:val="0090070B"/>
    <w:rsid w:val="00944DA4"/>
    <w:rsid w:val="009D5BE2"/>
    <w:rsid w:val="00A10832"/>
    <w:rsid w:val="00A95423"/>
    <w:rsid w:val="00A96841"/>
    <w:rsid w:val="00AF1CFF"/>
    <w:rsid w:val="00B036AA"/>
    <w:rsid w:val="00B16EE6"/>
    <w:rsid w:val="00B42F3F"/>
    <w:rsid w:val="00B53E0F"/>
    <w:rsid w:val="00B75A95"/>
    <w:rsid w:val="00B85855"/>
    <w:rsid w:val="00BA6C55"/>
    <w:rsid w:val="00BB3BA6"/>
    <w:rsid w:val="00BC323C"/>
    <w:rsid w:val="00BF49E6"/>
    <w:rsid w:val="00C03056"/>
    <w:rsid w:val="00C143B9"/>
    <w:rsid w:val="00C40686"/>
    <w:rsid w:val="00C42687"/>
    <w:rsid w:val="00C57726"/>
    <w:rsid w:val="00C64E82"/>
    <w:rsid w:val="00C65BCA"/>
    <w:rsid w:val="00D513FB"/>
    <w:rsid w:val="00DA4128"/>
    <w:rsid w:val="00DB2CF6"/>
    <w:rsid w:val="00DB511A"/>
    <w:rsid w:val="00DB51C0"/>
    <w:rsid w:val="00DB7A52"/>
    <w:rsid w:val="00DD0CA8"/>
    <w:rsid w:val="00DF2078"/>
    <w:rsid w:val="00DF2B97"/>
    <w:rsid w:val="00E4520C"/>
    <w:rsid w:val="00E52D02"/>
    <w:rsid w:val="00E63DE5"/>
    <w:rsid w:val="00E718FB"/>
    <w:rsid w:val="00E90E3F"/>
    <w:rsid w:val="00EE7F7C"/>
    <w:rsid w:val="00F10334"/>
    <w:rsid w:val="00F36A04"/>
    <w:rsid w:val="00F4337A"/>
    <w:rsid w:val="00FC5B74"/>
    <w:rsid w:val="00FD238D"/>
    <w:rsid w:val="00FD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BC5CB89"/>
  <w15:chartTrackingRefBased/>
  <w15:docId w15:val="{01798B82-BFAE-4605-8EB1-70A26B94C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6A04"/>
    <w:rPr>
      <w:rFonts w:ascii="Arial" w:hAnsi="Arial" w:cs="Arial"/>
      <w:bCs/>
      <w:sz w:val="24"/>
      <w:szCs w:val="24"/>
    </w:rPr>
  </w:style>
  <w:style w:type="paragraph" w:styleId="Heading1">
    <w:name w:val="heading 1"/>
    <w:basedOn w:val="Normal"/>
    <w:next w:val="Normal"/>
    <w:qFormat/>
    <w:rsid w:val="00B53E0F"/>
    <w:pPr>
      <w:keepNext/>
      <w:autoSpaceDE w:val="0"/>
      <w:autoSpaceDN w:val="0"/>
      <w:adjustRightInd w:val="0"/>
      <w:jc w:val="center"/>
      <w:outlineLvl w:val="0"/>
    </w:pPr>
    <w:rPr>
      <w:b/>
      <w:bCs w:val="0"/>
      <w:szCs w:val="28"/>
    </w:rPr>
  </w:style>
  <w:style w:type="paragraph" w:styleId="Heading2">
    <w:name w:val="heading 2"/>
    <w:basedOn w:val="Normal"/>
    <w:next w:val="Normal"/>
    <w:qFormat/>
    <w:rsid w:val="00485A18"/>
    <w:pPr>
      <w:keepNext/>
      <w:spacing w:before="240" w:after="60"/>
      <w:outlineLvl w:val="1"/>
    </w:pPr>
    <w:rPr>
      <w:b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85A18"/>
    <w:pPr>
      <w:keepNext/>
      <w:spacing w:before="240" w:after="60"/>
      <w:outlineLvl w:val="2"/>
    </w:pPr>
    <w:rPr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36A04"/>
    <w:pPr>
      <w:ind w:left="360"/>
    </w:pPr>
  </w:style>
  <w:style w:type="paragraph" w:styleId="Title">
    <w:name w:val="Title"/>
    <w:basedOn w:val="Normal"/>
    <w:qFormat/>
    <w:rsid w:val="00F36A04"/>
    <w:pPr>
      <w:autoSpaceDE w:val="0"/>
      <w:autoSpaceDN w:val="0"/>
      <w:adjustRightInd w:val="0"/>
      <w:jc w:val="center"/>
    </w:pPr>
    <w:rPr>
      <w:b/>
      <w:bCs w:val="0"/>
      <w:szCs w:val="36"/>
    </w:rPr>
  </w:style>
  <w:style w:type="paragraph" w:styleId="BodyText">
    <w:name w:val="Body Text"/>
    <w:basedOn w:val="Normal"/>
    <w:rsid w:val="00F36A04"/>
    <w:pPr>
      <w:autoSpaceDE w:val="0"/>
      <w:autoSpaceDN w:val="0"/>
      <w:adjustRightInd w:val="0"/>
    </w:pPr>
    <w:rPr>
      <w:sz w:val="20"/>
    </w:rPr>
  </w:style>
  <w:style w:type="paragraph" w:styleId="BodyTextIndent2">
    <w:name w:val="Body Text Indent 2"/>
    <w:basedOn w:val="Normal"/>
    <w:rsid w:val="00F36A04"/>
    <w:pPr>
      <w:ind w:left="720" w:hanging="720"/>
    </w:pPr>
    <w:rPr>
      <w:rFonts w:cs="Times New Roman"/>
      <w:szCs w:val="20"/>
    </w:rPr>
  </w:style>
  <w:style w:type="paragraph" w:styleId="Header">
    <w:name w:val="header"/>
    <w:basedOn w:val="Normal"/>
    <w:rsid w:val="00353A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3A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53A26"/>
  </w:style>
  <w:style w:type="paragraph" w:styleId="BodyText2">
    <w:name w:val="Body Text 2"/>
    <w:basedOn w:val="Normal"/>
    <w:rsid w:val="00E718FB"/>
    <w:pPr>
      <w:spacing w:after="120" w:line="480" w:lineRule="auto"/>
    </w:pPr>
  </w:style>
  <w:style w:type="paragraph" w:styleId="FootnoteText">
    <w:name w:val="footnote text"/>
    <w:basedOn w:val="Normal"/>
    <w:semiHidden/>
    <w:rsid w:val="00621A51"/>
    <w:pPr>
      <w:widowControl w:val="0"/>
      <w:autoSpaceDE w:val="0"/>
      <w:autoSpaceDN w:val="0"/>
      <w:adjustRightInd w:val="0"/>
    </w:pPr>
    <w:rPr>
      <w:szCs w:val="20"/>
    </w:rPr>
  </w:style>
  <w:style w:type="character" w:styleId="Hyperlink">
    <w:name w:val="Hyperlink"/>
    <w:rsid w:val="00251C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BBDD672BAB240AE25E8C18386348A" ma:contentTypeVersion="5" ma:contentTypeDescription="Create a new document." ma:contentTypeScope="" ma:versionID="edb88f5c1ceec33db4cb0b7c993a8ce5">
  <xsd:schema xmlns:xsd="http://www.w3.org/2001/XMLSchema" xmlns:xs="http://www.w3.org/2001/XMLSchema" xmlns:p="http://schemas.microsoft.com/office/2006/metadata/properties" xmlns:ns1="http://schemas.microsoft.com/sharepoint/v3" xmlns:ns2="b22f8f74-215c-4154-9939-bd29e4e8980e" targetNamespace="http://schemas.microsoft.com/office/2006/metadata/properties" ma:root="true" ma:fieldsID="5b851cb5bcdff340b09bfb219dc0c9f3" ns1:_="" ns2:_="">
    <xsd:import namespace="http://schemas.microsoft.com/sharepoint/v3"/>
    <xsd:import namespace="b22f8f74-215c-4154-9939-bd29e4e8980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8f74-215c-4154-9939-bd29e4e8980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b22f8f74-215c-4154-9939-bd29e4e8980e">XRUYQT3274NZ-681238054-1507</_dlc_DocId>
    <_dlc_DocIdUrl xmlns="b22f8f74-215c-4154-9939-bd29e4e8980e">
      <Url>https://supportservices.jobcorps.gov/health/_layouts/15/DocIdRedir.aspx?ID=XRUYQT3274NZ-681238054-1507</Url>
      <Description>XRUYQT3274NZ-681238054-1507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CA04D2C-D886-4CEF-8691-CAA0F13A8BA4}"/>
</file>

<file path=customXml/itemProps2.xml><?xml version="1.0" encoding="utf-8"?>
<ds:datastoreItem xmlns:ds="http://schemas.openxmlformats.org/officeDocument/2006/customXml" ds:itemID="{B71D49E6-041E-418B-B544-3AB9EB0B1399}"/>
</file>

<file path=customXml/itemProps3.xml><?xml version="1.0" encoding="utf-8"?>
<ds:datastoreItem xmlns:ds="http://schemas.openxmlformats.org/officeDocument/2006/customXml" ds:itemID="{7E8BE0A5-FB41-4E52-9722-AABB88B17C87}"/>
</file>

<file path=customXml/itemProps4.xml><?xml version="1.0" encoding="utf-8"?>
<ds:datastoreItem xmlns:ds="http://schemas.openxmlformats.org/officeDocument/2006/customXml" ds:itemID="{D7AB984E-8EA0-4671-A54E-D88E47E56A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TREATMENT GUIDELINES FOR HEALTH STAFF</vt:lpstr>
    </vt:vector>
  </TitlesOfParts>
  <Company>Humanitas, Inc.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TREATMENT GUIDELINES FOR HEALTH STAFF</dc:title>
  <dc:subject/>
  <dc:creator>jdavis</dc:creator>
  <cp:keywords/>
  <cp:lastModifiedBy>Carolina Valdenegro</cp:lastModifiedBy>
  <cp:revision>6</cp:revision>
  <dcterms:created xsi:type="dcterms:W3CDTF">2021-08-07T19:11:00Z</dcterms:created>
  <dcterms:modified xsi:type="dcterms:W3CDTF">2021-08-25T15:27:00Z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0x010100321BBDD672BAB240AE25E8C18386348A</vt:lpwstr>
  </property>
  <property fmtid="{D5CDD505-2E9C-101B-9397-08002B2CF9AE}" pid="3" name="_dlc_DocIdItemGuid">
    <vt:lpwstr>580f7f1a-2f4f-446b-aec2-529b3a0295bd</vt:lpwstr>
  </property>
</Properties>
</file>