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35" w:rsidRPr="00F1413D" w:rsidRDefault="00F1413D" w:rsidP="00AE3235">
      <w:pPr>
        <w:pStyle w:val="BodyText"/>
        <w:jc w:val="center"/>
        <w:rPr>
          <w:rFonts w:ascii="Arial" w:hAnsi="Arial" w:cs="Arial"/>
          <w:caps/>
          <w:sz w:val="22"/>
          <w:szCs w:val="22"/>
        </w:rPr>
      </w:pPr>
      <w:r w:rsidRPr="00F1413D">
        <w:rPr>
          <w:rFonts w:ascii="Arial" w:hAnsi="Arial" w:cs="Arial"/>
          <w:sz w:val="22"/>
          <w:szCs w:val="22"/>
        </w:rPr>
        <w:t>C</w:t>
      </w:r>
      <w:r w:rsidR="001B2CE9">
        <w:rPr>
          <w:rFonts w:ascii="Arial" w:hAnsi="Arial" w:cs="Arial"/>
          <w:sz w:val="22"/>
          <w:szCs w:val="22"/>
        </w:rPr>
        <w:t>CMP Guidelines for CPP</w:t>
      </w:r>
      <w:r w:rsidRPr="00F1413D">
        <w:rPr>
          <w:rFonts w:ascii="Arial" w:hAnsi="Arial" w:cs="Arial"/>
          <w:caps/>
          <w:sz w:val="22"/>
          <w:szCs w:val="22"/>
        </w:rPr>
        <w:t xml:space="preserve">: </w:t>
      </w:r>
      <w:r w:rsidR="00AE3235" w:rsidRPr="00F1413D">
        <w:rPr>
          <w:rFonts w:ascii="Arial" w:hAnsi="Arial" w:cs="Arial"/>
          <w:caps/>
          <w:sz w:val="22"/>
          <w:szCs w:val="22"/>
        </w:rPr>
        <w:t>Asthma</w:t>
      </w:r>
    </w:p>
    <w:p w:rsidR="002C10E8" w:rsidRDefault="002C10E8">
      <w:pPr>
        <w:rPr>
          <w:rFonts w:ascii="Arial" w:hAnsi="Arial" w:cs="Arial"/>
          <w:sz w:val="20"/>
        </w:rPr>
      </w:pPr>
    </w:p>
    <w:p w:rsidR="00660D72" w:rsidRDefault="00660D72">
      <w:pPr>
        <w:rPr>
          <w:rFonts w:ascii="Arial" w:hAnsi="Arial" w:cs="Arial"/>
          <w:sz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000"/>
      </w:tblPr>
      <w:tblGrid>
        <w:gridCol w:w="656"/>
        <w:gridCol w:w="716"/>
        <w:gridCol w:w="7988"/>
      </w:tblGrid>
      <w:tr w:rsidR="004D7250" w:rsidRPr="00F1413D" w:rsidTr="00D44C84">
        <w:tc>
          <w:tcPr>
            <w:tcW w:w="137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7250" w:rsidRPr="00F1413D" w:rsidRDefault="004D7250" w:rsidP="00F1413D">
            <w:pPr>
              <w:pStyle w:val="Heading1"/>
              <w:rPr>
                <w:b/>
                <w:bCs/>
                <w:shadow w:val="0"/>
                <w:sz w:val="20"/>
                <w:szCs w:val="20"/>
              </w:rPr>
            </w:pPr>
            <w:r w:rsidRPr="00F1413D">
              <w:rPr>
                <w:b/>
                <w:bCs/>
                <w:shadow w:val="0"/>
                <w:sz w:val="20"/>
                <w:szCs w:val="20"/>
              </w:rPr>
              <w:t>GOALS</w:t>
            </w:r>
          </w:p>
        </w:tc>
        <w:tc>
          <w:tcPr>
            <w:tcW w:w="7988" w:type="dxa"/>
            <w:tcBorders>
              <w:bottom w:val="single" w:sz="4" w:space="0" w:color="auto"/>
            </w:tcBorders>
          </w:tcPr>
          <w:p w:rsidR="004D7250" w:rsidRPr="00F1413D" w:rsidRDefault="004D7250" w:rsidP="00515288">
            <w:pPr>
              <w:numPr>
                <w:ilvl w:val="0"/>
                <w:numId w:val="1"/>
              </w:numPr>
              <w:tabs>
                <w:tab w:val="clear" w:pos="720"/>
                <w:tab w:val="num" w:pos="428"/>
              </w:tabs>
              <w:ind w:left="428"/>
              <w:rPr>
                <w:rFonts w:ascii="Arial" w:hAnsi="Arial" w:cs="Arial"/>
                <w:sz w:val="20"/>
                <w:szCs w:val="20"/>
              </w:rPr>
            </w:pPr>
            <w:r w:rsidRPr="00F1413D">
              <w:rPr>
                <w:rFonts w:ascii="Arial" w:hAnsi="Arial" w:cs="Arial"/>
                <w:sz w:val="20"/>
                <w:szCs w:val="20"/>
              </w:rPr>
              <w:t>Enhance employability by optimizing control of asthma symptoms.</w:t>
            </w:r>
          </w:p>
          <w:p w:rsidR="004D7250" w:rsidRPr="00F1413D" w:rsidRDefault="004D7250" w:rsidP="00515288">
            <w:pPr>
              <w:numPr>
                <w:ilvl w:val="0"/>
                <w:numId w:val="1"/>
              </w:numPr>
              <w:tabs>
                <w:tab w:val="clear" w:pos="720"/>
                <w:tab w:val="num" w:pos="428"/>
              </w:tabs>
              <w:ind w:left="428"/>
              <w:rPr>
                <w:rFonts w:ascii="Arial" w:hAnsi="Arial" w:cs="Arial"/>
                <w:sz w:val="20"/>
                <w:szCs w:val="20"/>
              </w:rPr>
            </w:pPr>
            <w:r w:rsidRPr="00F1413D">
              <w:rPr>
                <w:rFonts w:ascii="Arial" w:hAnsi="Arial" w:cs="Arial"/>
                <w:sz w:val="20"/>
                <w:szCs w:val="20"/>
              </w:rPr>
              <w:t>Educate the student regarding recognition of symptoms and self-management.</w:t>
            </w:r>
          </w:p>
          <w:p w:rsidR="004D7250" w:rsidRPr="00F1413D" w:rsidRDefault="004D7250" w:rsidP="00515288">
            <w:pPr>
              <w:numPr>
                <w:ilvl w:val="0"/>
                <w:numId w:val="1"/>
              </w:numPr>
              <w:tabs>
                <w:tab w:val="clear" w:pos="720"/>
                <w:tab w:val="num" w:pos="428"/>
              </w:tabs>
              <w:ind w:left="428"/>
              <w:rPr>
                <w:rFonts w:ascii="Arial" w:hAnsi="Arial" w:cs="Arial"/>
                <w:sz w:val="20"/>
                <w:szCs w:val="20"/>
              </w:rPr>
            </w:pPr>
            <w:r w:rsidRPr="00F1413D">
              <w:rPr>
                <w:rFonts w:ascii="Arial" w:hAnsi="Arial" w:cs="Arial"/>
                <w:sz w:val="20"/>
                <w:szCs w:val="20"/>
              </w:rPr>
              <w:t>Reduce expose to precipitants or triggers.</w:t>
            </w:r>
          </w:p>
          <w:p w:rsidR="004D7250" w:rsidRPr="00F1413D" w:rsidRDefault="004D7250" w:rsidP="00515288">
            <w:pPr>
              <w:numPr>
                <w:ilvl w:val="0"/>
                <w:numId w:val="1"/>
              </w:numPr>
              <w:tabs>
                <w:tab w:val="clear" w:pos="720"/>
                <w:tab w:val="num" w:pos="428"/>
              </w:tabs>
              <w:ind w:left="428"/>
              <w:rPr>
                <w:rFonts w:ascii="Arial" w:hAnsi="Arial" w:cs="Arial"/>
                <w:sz w:val="20"/>
                <w:szCs w:val="20"/>
              </w:rPr>
            </w:pPr>
            <w:r w:rsidRPr="00F1413D">
              <w:rPr>
                <w:rFonts w:ascii="Arial" w:hAnsi="Arial" w:cs="Arial"/>
                <w:sz w:val="20"/>
                <w:szCs w:val="20"/>
              </w:rPr>
              <w:t>Optimize pharmacotherapy utilizing national guidelines.</w:t>
            </w:r>
          </w:p>
          <w:p w:rsidR="004D7250" w:rsidRPr="00F1413D" w:rsidRDefault="004D7250" w:rsidP="00515288">
            <w:pPr>
              <w:numPr>
                <w:ilvl w:val="0"/>
                <w:numId w:val="1"/>
              </w:numPr>
              <w:tabs>
                <w:tab w:val="clear" w:pos="720"/>
                <w:tab w:val="num" w:pos="428"/>
              </w:tabs>
              <w:ind w:left="428"/>
              <w:rPr>
                <w:rFonts w:ascii="Arial" w:hAnsi="Arial" w:cs="Arial"/>
                <w:sz w:val="20"/>
                <w:szCs w:val="20"/>
              </w:rPr>
            </w:pPr>
            <w:r w:rsidRPr="00F1413D">
              <w:rPr>
                <w:rFonts w:ascii="Arial" w:hAnsi="Arial" w:cs="Arial"/>
                <w:sz w:val="20"/>
                <w:szCs w:val="20"/>
              </w:rPr>
              <w:t>Implement step therapy with regularly scheduled follow-up visits.</w:t>
            </w:r>
          </w:p>
        </w:tc>
      </w:tr>
      <w:tr w:rsidR="00660D72" w:rsidRPr="00F1413D" w:rsidTr="00D44C84">
        <w:tc>
          <w:tcPr>
            <w:tcW w:w="656" w:type="dxa"/>
            <w:shd w:val="clear" w:color="auto" w:fill="BFBFBF" w:themeFill="background1" w:themeFillShade="BF"/>
            <w:vAlign w:val="center"/>
          </w:tcPr>
          <w:p w:rsidR="00660D72" w:rsidRPr="00F1413D" w:rsidRDefault="00DA6C80" w:rsidP="00F1413D">
            <w:pPr>
              <w:pStyle w:val="Heading1"/>
              <w:rPr>
                <w:b/>
                <w:bCs/>
                <w:shadow w:val="0"/>
                <w:sz w:val="20"/>
                <w:szCs w:val="20"/>
              </w:rPr>
            </w:pPr>
            <w:r w:rsidRPr="00F1413D">
              <w:rPr>
                <w:b/>
                <w:bCs/>
                <w:shadow w:val="0"/>
                <w:sz w:val="20"/>
                <w:szCs w:val="20"/>
              </w:rPr>
              <w:t>Yes</w:t>
            </w: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:rsidR="00660D72" w:rsidRPr="00F1413D" w:rsidRDefault="00DA6C80" w:rsidP="00F1413D">
            <w:pPr>
              <w:pStyle w:val="Heading1"/>
              <w:rPr>
                <w:b/>
                <w:bCs/>
                <w:shadow w:val="0"/>
                <w:sz w:val="20"/>
                <w:szCs w:val="20"/>
              </w:rPr>
            </w:pPr>
            <w:r w:rsidRPr="00F1413D">
              <w:rPr>
                <w:b/>
                <w:bCs/>
                <w:shadow w:val="0"/>
                <w:sz w:val="20"/>
                <w:szCs w:val="20"/>
              </w:rPr>
              <w:t>No</w:t>
            </w:r>
          </w:p>
        </w:tc>
        <w:tc>
          <w:tcPr>
            <w:tcW w:w="7988" w:type="dxa"/>
            <w:shd w:val="clear" w:color="auto" w:fill="BFBFBF" w:themeFill="background1" w:themeFillShade="BF"/>
            <w:vAlign w:val="center"/>
          </w:tcPr>
          <w:p w:rsidR="00660D72" w:rsidRPr="00F1413D" w:rsidRDefault="00F1413D" w:rsidP="00E7620C">
            <w:pPr>
              <w:pStyle w:val="Heading1"/>
              <w:jc w:val="left"/>
              <w:rPr>
                <w:shadow w:val="0"/>
                <w:sz w:val="20"/>
                <w:szCs w:val="20"/>
              </w:rPr>
            </w:pPr>
            <w:r w:rsidRPr="00F1413D">
              <w:rPr>
                <w:b/>
                <w:bCs/>
                <w:shadow w:val="0"/>
                <w:sz w:val="20"/>
                <w:szCs w:val="20"/>
              </w:rPr>
              <w:t xml:space="preserve">Career </w:t>
            </w:r>
            <w:r w:rsidRPr="00F1413D">
              <w:rPr>
                <w:b/>
                <w:shadow w:val="0"/>
                <w:sz w:val="20"/>
                <w:szCs w:val="20"/>
              </w:rPr>
              <w:t>Preparation</w:t>
            </w:r>
            <w:r w:rsidRPr="00F1413D">
              <w:rPr>
                <w:b/>
                <w:bCs/>
                <w:shadow w:val="0"/>
                <w:sz w:val="20"/>
                <w:szCs w:val="20"/>
              </w:rPr>
              <w:t xml:space="preserve"> Period</w:t>
            </w:r>
          </w:p>
        </w:tc>
      </w:tr>
      <w:tr w:rsidR="00660D72" w:rsidRPr="00F1413D" w:rsidTr="00D44C84">
        <w:tc>
          <w:tcPr>
            <w:tcW w:w="656" w:type="dxa"/>
            <w:vAlign w:val="center"/>
          </w:tcPr>
          <w:p w:rsidR="00660D72" w:rsidRPr="00F1413D" w:rsidRDefault="00660D72" w:rsidP="00E4617F">
            <w:pPr>
              <w:pStyle w:val="Heading1"/>
              <w:jc w:val="left"/>
              <w:rPr>
                <w:bCs/>
                <w:shadow w:val="0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660D72" w:rsidRPr="00F1413D" w:rsidRDefault="00660D72" w:rsidP="00E4617F">
            <w:pPr>
              <w:pStyle w:val="Heading1"/>
              <w:jc w:val="left"/>
              <w:rPr>
                <w:bCs/>
                <w:shadow w:val="0"/>
                <w:sz w:val="20"/>
                <w:szCs w:val="20"/>
              </w:rPr>
            </w:pPr>
          </w:p>
        </w:tc>
        <w:tc>
          <w:tcPr>
            <w:tcW w:w="7988" w:type="dxa"/>
            <w:vAlign w:val="center"/>
          </w:tcPr>
          <w:p w:rsidR="00660D72" w:rsidRPr="00F1413D" w:rsidRDefault="00660D72" w:rsidP="00E4617F">
            <w:pPr>
              <w:pStyle w:val="Heading1"/>
              <w:jc w:val="left"/>
              <w:rPr>
                <w:bCs/>
                <w:shadow w:val="0"/>
                <w:sz w:val="20"/>
                <w:szCs w:val="20"/>
              </w:rPr>
            </w:pPr>
            <w:r w:rsidRPr="00F1413D">
              <w:rPr>
                <w:shadow w:val="0"/>
                <w:sz w:val="20"/>
                <w:szCs w:val="20"/>
              </w:rPr>
              <w:t>Establish an Asthma Action Plan for student</w:t>
            </w:r>
          </w:p>
        </w:tc>
      </w:tr>
      <w:tr w:rsidR="00660D72" w:rsidRPr="00F1413D" w:rsidTr="00D44C84">
        <w:tc>
          <w:tcPr>
            <w:tcW w:w="656" w:type="dxa"/>
            <w:vAlign w:val="center"/>
          </w:tcPr>
          <w:p w:rsidR="00660D72" w:rsidRPr="00F1413D" w:rsidRDefault="00660D72" w:rsidP="00E4617F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660D72" w:rsidRPr="00F1413D" w:rsidRDefault="00660D72" w:rsidP="00E4617F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988" w:type="dxa"/>
            <w:vAlign w:val="center"/>
          </w:tcPr>
          <w:p w:rsidR="00660D72" w:rsidRPr="00F1413D" w:rsidRDefault="00660D72" w:rsidP="00E4617F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  <w:r w:rsidRPr="00F1413D">
              <w:rPr>
                <w:shadow w:val="0"/>
                <w:sz w:val="20"/>
                <w:szCs w:val="20"/>
              </w:rPr>
              <w:t>Offer the student a Medical Identification bracelet/necklace/anklet</w:t>
            </w:r>
          </w:p>
        </w:tc>
      </w:tr>
      <w:tr w:rsidR="00660D72" w:rsidRPr="00F1413D" w:rsidTr="00D44C84">
        <w:tc>
          <w:tcPr>
            <w:tcW w:w="656" w:type="dxa"/>
          </w:tcPr>
          <w:p w:rsidR="00660D72" w:rsidRPr="00F1413D" w:rsidRDefault="00660D72" w:rsidP="00F1413D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16" w:type="dxa"/>
          </w:tcPr>
          <w:p w:rsidR="00660D72" w:rsidRPr="00F1413D" w:rsidRDefault="00660D72" w:rsidP="00F1413D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988" w:type="dxa"/>
            <w:vAlign w:val="center"/>
          </w:tcPr>
          <w:p w:rsidR="00660D72" w:rsidRPr="00F1413D" w:rsidRDefault="00660D72" w:rsidP="00F1413D">
            <w:pPr>
              <w:rPr>
                <w:rFonts w:ascii="Arial" w:hAnsi="Arial" w:cs="Arial"/>
                <w:sz w:val="20"/>
                <w:szCs w:val="20"/>
              </w:rPr>
            </w:pPr>
            <w:r w:rsidRPr="00F1413D">
              <w:rPr>
                <w:rFonts w:ascii="Arial" w:hAnsi="Arial" w:cs="Arial"/>
                <w:sz w:val="20"/>
                <w:szCs w:val="20"/>
              </w:rPr>
              <w:t>Visit Schedule</w:t>
            </w:r>
          </w:p>
          <w:p w:rsidR="00660D72" w:rsidRPr="008B6D1E" w:rsidRDefault="00660D72" w:rsidP="008B6D1E">
            <w:pPr>
              <w:pStyle w:val="Heading1"/>
              <w:numPr>
                <w:ilvl w:val="0"/>
                <w:numId w:val="9"/>
              </w:numPr>
              <w:tabs>
                <w:tab w:val="clear" w:pos="360"/>
                <w:tab w:val="num" w:pos="518"/>
              </w:tabs>
              <w:ind w:left="518" w:hanging="270"/>
              <w:jc w:val="left"/>
              <w:rPr>
                <w:shadow w:val="0"/>
                <w:sz w:val="20"/>
                <w:szCs w:val="20"/>
              </w:rPr>
            </w:pPr>
            <w:r w:rsidRPr="008B6D1E">
              <w:rPr>
                <w:shadow w:val="0"/>
                <w:sz w:val="20"/>
                <w:szCs w:val="20"/>
              </w:rPr>
              <w:t>At least monthly for persistent asthma – assess symptoms via standardized questionnaire</w:t>
            </w:r>
          </w:p>
          <w:p w:rsidR="00660D72" w:rsidRPr="00F1413D" w:rsidRDefault="00660D72" w:rsidP="008B6D1E">
            <w:pPr>
              <w:pStyle w:val="Heading1"/>
              <w:numPr>
                <w:ilvl w:val="0"/>
                <w:numId w:val="9"/>
              </w:numPr>
              <w:tabs>
                <w:tab w:val="clear" w:pos="360"/>
                <w:tab w:val="num" w:pos="518"/>
              </w:tabs>
              <w:ind w:left="518" w:hanging="270"/>
              <w:jc w:val="left"/>
              <w:rPr>
                <w:b/>
                <w:bCs/>
                <w:shadow w:val="0"/>
                <w:sz w:val="20"/>
                <w:szCs w:val="20"/>
              </w:rPr>
            </w:pPr>
            <w:r w:rsidRPr="00F1413D">
              <w:rPr>
                <w:shadow w:val="0"/>
                <w:sz w:val="20"/>
                <w:szCs w:val="20"/>
              </w:rPr>
              <w:t>At least every 3 months for intermittent asthma</w:t>
            </w:r>
          </w:p>
        </w:tc>
      </w:tr>
      <w:tr w:rsidR="00660D72" w:rsidRPr="00F1413D" w:rsidTr="00D44C84">
        <w:tc>
          <w:tcPr>
            <w:tcW w:w="656" w:type="dxa"/>
            <w:vAlign w:val="center"/>
          </w:tcPr>
          <w:p w:rsidR="00660D72" w:rsidRPr="00F1413D" w:rsidRDefault="00660D72" w:rsidP="00E4617F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660D72" w:rsidRPr="00F1413D" w:rsidRDefault="00660D72" w:rsidP="00E4617F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988" w:type="dxa"/>
            <w:vAlign w:val="center"/>
          </w:tcPr>
          <w:p w:rsidR="00660D72" w:rsidRPr="00F1413D" w:rsidRDefault="00660D72" w:rsidP="00E4617F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  <w:r w:rsidRPr="00F1413D">
              <w:rPr>
                <w:shadow w:val="0"/>
                <w:sz w:val="20"/>
                <w:szCs w:val="20"/>
              </w:rPr>
              <w:t xml:space="preserve">Availability of a personal </w:t>
            </w:r>
            <w:proofErr w:type="spellStart"/>
            <w:r w:rsidRPr="00F1413D">
              <w:rPr>
                <w:shadow w:val="0"/>
                <w:sz w:val="20"/>
                <w:szCs w:val="20"/>
              </w:rPr>
              <w:t>albuterol</w:t>
            </w:r>
            <w:proofErr w:type="spellEnd"/>
            <w:r w:rsidRPr="00F1413D">
              <w:rPr>
                <w:shadow w:val="0"/>
                <w:sz w:val="20"/>
                <w:szCs w:val="20"/>
              </w:rPr>
              <w:t xml:space="preserve"> MDI at all times on and off center</w:t>
            </w:r>
          </w:p>
        </w:tc>
      </w:tr>
      <w:tr w:rsidR="00660D72" w:rsidRPr="00F1413D" w:rsidTr="00D44C84">
        <w:tc>
          <w:tcPr>
            <w:tcW w:w="656" w:type="dxa"/>
            <w:vAlign w:val="center"/>
          </w:tcPr>
          <w:p w:rsidR="00660D72" w:rsidRPr="00F1413D" w:rsidRDefault="00660D72" w:rsidP="00E4617F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660D72" w:rsidRPr="00F1413D" w:rsidRDefault="00660D72" w:rsidP="00E4617F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988" w:type="dxa"/>
            <w:vAlign w:val="center"/>
          </w:tcPr>
          <w:p w:rsidR="00660D72" w:rsidRPr="00F1413D" w:rsidRDefault="00660D72" w:rsidP="00E4617F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  <w:r w:rsidRPr="00F1413D">
              <w:rPr>
                <w:shadow w:val="0"/>
                <w:sz w:val="20"/>
                <w:szCs w:val="20"/>
              </w:rPr>
              <w:t>Clinical assessment of appropriate technique for use of MDI</w:t>
            </w:r>
          </w:p>
        </w:tc>
      </w:tr>
      <w:tr w:rsidR="00660D72" w:rsidRPr="00F1413D" w:rsidTr="00D44C84">
        <w:tc>
          <w:tcPr>
            <w:tcW w:w="656" w:type="dxa"/>
            <w:vAlign w:val="center"/>
          </w:tcPr>
          <w:p w:rsidR="00660D72" w:rsidRPr="00F1413D" w:rsidRDefault="00660D72" w:rsidP="00E4617F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660D72" w:rsidRPr="00F1413D" w:rsidRDefault="00660D72" w:rsidP="00E4617F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988" w:type="dxa"/>
            <w:vAlign w:val="center"/>
          </w:tcPr>
          <w:p w:rsidR="00660D72" w:rsidRPr="00F1413D" w:rsidRDefault="00660D72" w:rsidP="00E4617F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  <w:r w:rsidRPr="00F1413D">
              <w:rPr>
                <w:shadow w:val="0"/>
                <w:sz w:val="20"/>
                <w:szCs w:val="20"/>
              </w:rPr>
              <w:t>Use of peak flow measurements for students with persistent asthma</w:t>
            </w:r>
          </w:p>
        </w:tc>
      </w:tr>
      <w:tr w:rsidR="00660D72" w:rsidRPr="00F1413D" w:rsidTr="00D44C84">
        <w:tc>
          <w:tcPr>
            <w:tcW w:w="656" w:type="dxa"/>
            <w:vAlign w:val="center"/>
          </w:tcPr>
          <w:p w:rsidR="00660D72" w:rsidRPr="00F1413D" w:rsidRDefault="00660D72" w:rsidP="00E4617F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660D72" w:rsidRPr="00F1413D" w:rsidRDefault="00660D72" w:rsidP="00E4617F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988" w:type="dxa"/>
            <w:vAlign w:val="center"/>
          </w:tcPr>
          <w:p w:rsidR="00660D72" w:rsidRPr="00F1413D" w:rsidRDefault="00660D72" w:rsidP="00E4617F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  <w:r w:rsidRPr="00F1413D">
              <w:rPr>
                <w:shadow w:val="0"/>
                <w:sz w:val="20"/>
                <w:szCs w:val="20"/>
              </w:rPr>
              <w:t>Optional use of peak flow measurements for students with intermittent asthma</w:t>
            </w:r>
          </w:p>
        </w:tc>
      </w:tr>
      <w:tr w:rsidR="00660D72" w:rsidRPr="00F1413D" w:rsidTr="00D44C84">
        <w:tc>
          <w:tcPr>
            <w:tcW w:w="656" w:type="dxa"/>
            <w:vAlign w:val="center"/>
          </w:tcPr>
          <w:p w:rsidR="00660D72" w:rsidRPr="00F1413D" w:rsidRDefault="00660D72" w:rsidP="00E4617F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660D72" w:rsidRPr="00F1413D" w:rsidRDefault="00660D72" w:rsidP="00E4617F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988" w:type="dxa"/>
            <w:vAlign w:val="center"/>
          </w:tcPr>
          <w:p w:rsidR="00660D72" w:rsidRPr="00F1413D" w:rsidRDefault="00660D72" w:rsidP="00E4617F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  <w:r w:rsidRPr="00F1413D">
              <w:rPr>
                <w:shadow w:val="0"/>
                <w:sz w:val="20"/>
                <w:szCs w:val="20"/>
              </w:rPr>
              <w:t>Assess vocational training match</w:t>
            </w:r>
          </w:p>
        </w:tc>
      </w:tr>
      <w:tr w:rsidR="00660D72" w:rsidRPr="00F1413D" w:rsidTr="00D44C84">
        <w:tc>
          <w:tcPr>
            <w:tcW w:w="656" w:type="dxa"/>
            <w:vAlign w:val="center"/>
          </w:tcPr>
          <w:p w:rsidR="00660D72" w:rsidRPr="00F1413D" w:rsidRDefault="00660D72" w:rsidP="00E4617F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660D72" w:rsidRPr="00F1413D" w:rsidRDefault="00660D72" w:rsidP="00E4617F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988" w:type="dxa"/>
            <w:vAlign w:val="center"/>
          </w:tcPr>
          <w:p w:rsidR="00660D72" w:rsidRPr="00F1413D" w:rsidRDefault="00660D72" w:rsidP="00E4617F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  <w:r w:rsidRPr="00F1413D">
              <w:rPr>
                <w:shadow w:val="0"/>
                <w:sz w:val="20"/>
                <w:szCs w:val="20"/>
              </w:rPr>
              <w:t>Mandatory TUPP/smoking cessation enrollment</w:t>
            </w:r>
            <w:r w:rsidR="00CF6706" w:rsidRPr="00F1413D">
              <w:rPr>
                <w:shadow w:val="0"/>
                <w:sz w:val="20"/>
                <w:szCs w:val="20"/>
              </w:rPr>
              <w:t xml:space="preserve"> </w:t>
            </w:r>
            <w:r w:rsidR="004C62D9" w:rsidRPr="00F1413D">
              <w:rPr>
                <w:shadow w:val="0"/>
                <w:sz w:val="20"/>
                <w:szCs w:val="20"/>
              </w:rPr>
              <w:t>(if applicable)</w:t>
            </w:r>
          </w:p>
        </w:tc>
      </w:tr>
      <w:tr w:rsidR="00660D72" w:rsidRPr="00F1413D" w:rsidTr="00D44C84">
        <w:tc>
          <w:tcPr>
            <w:tcW w:w="656" w:type="dxa"/>
            <w:vAlign w:val="center"/>
          </w:tcPr>
          <w:p w:rsidR="00660D72" w:rsidRPr="00F1413D" w:rsidRDefault="00660D72" w:rsidP="00E4617F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660D72" w:rsidRPr="00F1413D" w:rsidRDefault="00660D72" w:rsidP="00E4617F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988" w:type="dxa"/>
            <w:vAlign w:val="center"/>
          </w:tcPr>
          <w:p w:rsidR="00660D72" w:rsidRPr="00F1413D" w:rsidRDefault="00660D72" w:rsidP="00E4617F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  <w:r w:rsidRPr="00F1413D">
              <w:rPr>
                <w:shadow w:val="0"/>
                <w:sz w:val="20"/>
                <w:szCs w:val="20"/>
              </w:rPr>
              <w:t>Reduce or eliminate exposure to other precipitants</w:t>
            </w:r>
          </w:p>
        </w:tc>
      </w:tr>
      <w:tr w:rsidR="00660D72" w:rsidRPr="00F1413D" w:rsidTr="00D44C84">
        <w:tc>
          <w:tcPr>
            <w:tcW w:w="656" w:type="dxa"/>
            <w:vAlign w:val="center"/>
          </w:tcPr>
          <w:p w:rsidR="00660D72" w:rsidRPr="00F1413D" w:rsidRDefault="00660D72" w:rsidP="00E4617F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660D72" w:rsidRPr="00F1413D" w:rsidRDefault="00660D72" w:rsidP="00E4617F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988" w:type="dxa"/>
            <w:vAlign w:val="center"/>
          </w:tcPr>
          <w:p w:rsidR="00660D72" w:rsidRPr="00F1413D" w:rsidRDefault="00660D72" w:rsidP="00E4617F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  <w:r w:rsidRPr="00F1413D">
              <w:rPr>
                <w:shadow w:val="0"/>
                <w:sz w:val="20"/>
                <w:szCs w:val="20"/>
              </w:rPr>
              <w:t>Optimize pharmacotherapy according to national guidelines</w:t>
            </w:r>
          </w:p>
        </w:tc>
      </w:tr>
      <w:tr w:rsidR="00660D72" w:rsidRPr="00F1413D" w:rsidTr="00D44C84">
        <w:tc>
          <w:tcPr>
            <w:tcW w:w="656" w:type="dxa"/>
            <w:vAlign w:val="center"/>
          </w:tcPr>
          <w:p w:rsidR="00660D72" w:rsidRPr="00F1413D" w:rsidRDefault="00660D72" w:rsidP="00E4617F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660D72" w:rsidRPr="00F1413D" w:rsidRDefault="00660D72" w:rsidP="00E4617F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988" w:type="dxa"/>
            <w:vAlign w:val="center"/>
          </w:tcPr>
          <w:p w:rsidR="00660D72" w:rsidRPr="00F1413D" w:rsidRDefault="00660D72" w:rsidP="00E4617F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  <w:r w:rsidRPr="00F1413D">
              <w:rPr>
                <w:shadow w:val="0"/>
                <w:sz w:val="20"/>
                <w:szCs w:val="20"/>
              </w:rPr>
              <w:t>Daily controller medication for students with persistent asthma</w:t>
            </w:r>
          </w:p>
        </w:tc>
      </w:tr>
      <w:tr w:rsidR="00660D72" w:rsidRPr="00F1413D" w:rsidTr="00D44C84">
        <w:tc>
          <w:tcPr>
            <w:tcW w:w="656" w:type="dxa"/>
            <w:vAlign w:val="center"/>
          </w:tcPr>
          <w:p w:rsidR="00660D72" w:rsidRPr="00F1413D" w:rsidRDefault="00660D72" w:rsidP="00E4617F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660D72" w:rsidRPr="00F1413D" w:rsidRDefault="00660D72" w:rsidP="00E4617F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988" w:type="dxa"/>
            <w:vAlign w:val="center"/>
          </w:tcPr>
          <w:p w:rsidR="00660D72" w:rsidRPr="00F1413D" w:rsidRDefault="00660D72" w:rsidP="00E4617F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  <w:r w:rsidRPr="00F1413D">
              <w:rPr>
                <w:shadow w:val="0"/>
                <w:sz w:val="20"/>
                <w:szCs w:val="20"/>
              </w:rPr>
              <w:t>Availability of nebulizer in health and wellness center</w:t>
            </w:r>
          </w:p>
        </w:tc>
      </w:tr>
      <w:tr w:rsidR="00660D72" w:rsidRPr="00F1413D" w:rsidTr="00D44C84">
        <w:tc>
          <w:tcPr>
            <w:tcW w:w="656" w:type="dxa"/>
            <w:vAlign w:val="center"/>
          </w:tcPr>
          <w:p w:rsidR="00660D72" w:rsidRPr="00F1413D" w:rsidRDefault="00660D72" w:rsidP="00E4617F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660D72" w:rsidRPr="00F1413D" w:rsidRDefault="00660D72" w:rsidP="00E4617F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988" w:type="dxa"/>
            <w:vAlign w:val="center"/>
          </w:tcPr>
          <w:p w:rsidR="00660D72" w:rsidRPr="00F1413D" w:rsidRDefault="00660D72" w:rsidP="00E4617F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  <w:r w:rsidRPr="00F1413D">
              <w:rPr>
                <w:shadow w:val="0"/>
                <w:sz w:val="20"/>
                <w:szCs w:val="20"/>
              </w:rPr>
              <w:t xml:space="preserve">Availability of pulse </w:t>
            </w:r>
            <w:proofErr w:type="spellStart"/>
            <w:r w:rsidRPr="00F1413D">
              <w:rPr>
                <w:shadow w:val="0"/>
                <w:sz w:val="20"/>
                <w:szCs w:val="20"/>
              </w:rPr>
              <w:t>oximetry</w:t>
            </w:r>
            <w:proofErr w:type="spellEnd"/>
            <w:r w:rsidRPr="00F1413D">
              <w:rPr>
                <w:shadow w:val="0"/>
                <w:sz w:val="20"/>
                <w:szCs w:val="20"/>
              </w:rPr>
              <w:t xml:space="preserve"> in health and wellness center</w:t>
            </w:r>
          </w:p>
        </w:tc>
      </w:tr>
      <w:tr w:rsidR="002A7A3A" w:rsidRPr="00F1413D" w:rsidTr="00D44C84">
        <w:tc>
          <w:tcPr>
            <w:tcW w:w="656" w:type="dxa"/>
            <w:vAlign w:val="center"/>
          </w:tcPr>
          <w:p w:rsidR="002A7A3A" w:rsidRPr="00F1413D" w:rsidRDefault="002A7A3A" w:rsidP="00E4617F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2A7A3A" w:rsidRPr="00F1413D" w:rsidRDefault="002A7A3A" w:rsidP="00E4617F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988" w:type="dxa"/>
            <w:vAlign w:val="center"/>
          </w:tcPr>
          <w:p w:rsidR="002A7A3A" w:rsidRPr="00F1413D" w:rsidRDefault="002A7A3A" w:rsidP="00E4617F">
            <w:pPr>
              <w:pStyle w:val="Heading1"/>
              <w:jc w:val="left"/>
              <w:rPr>
                <w:shadow w:val="0"/>
                <w:sz w:val="20"/>
                <w:szCs w:val="20"/>
              </w:rPr>
            </w:pPr>
            <w:r w:rsidRPr="00F1413D">
              <w:rPr>
                <w:shadow w:val="0"/>
                <w:sz w:val="20"/>
                <w:szCs w:val="20"/>
              </w:rPr>
              <w:t>Availability of supplemental oxygen in health and wellness center</w:t>
            </w:r>
          </w:p>
        </w:tc>
      </w:tr>
      <w:tr w:rsidR="00660D72" w:rsidRPr="00F1413D" w:rsidTr="00D44C84">
        <w:tc>
          <w:tcPr>
            <w:tcW w:w="656" w:type="dxa"/>
            <w:vAlign w:val="center"/>
          </w:tcPr>
          <w:p w:rsidR="00660D72" w:rsidRPr="00F1413D" w:rsidRDefault="00660D72" w:rsidP="00E4617F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660D72" w:rsidRPr="00F1413D" w:rsidRDefault="00660D72" w:rsidP="00E4617F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988" w:type="dxa"/>
            <w:vAlign w:val="center"/>
          </w:tcPr>
          <w:p w:rsidR="00660D72" w:rsidRPr="00F1413D" w:rsidRDefault="00660D72" w:rsidP="00E4617F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  <w:r w:rsidRPr="00F1413D">
              <w:rPr>
                <w:shadow w:val="0"/>
                <w:sz w:val="20"/>
                <w:szCs w:val="20"/>
              </w:rPr>
              <w:t>Annual</w:t>
            </w:r>
            <w:r w:rsidR="004C62D9" w:rsidRPr="00F1413D">
              <w:rPr>
                <w:shadow w:val="0"/>
                <w:sz w:val="20"/>
                <w:szCs w:val="20"/>
              </w:rPr>
              <w:t xml:space="preserve"> seasonal</w:t>
            </w:r>
            <w:r w:rsidRPr="00F1413D">
              <w:rPr>
                <w:shadow w:val="0"/>
                <w:sz w:val="20"/>
                <w:szCs w:val="20"/>
              </w:rPr>
              <w:t xml:space="preserve"> influenza vaccination in October or November</w:t>
            </w:r>
            <w:r w:rsidR="004C62D9" w:rsidRPr="00F1413D">
              <w:rPr>
                <w:shadow w:val="0"/>
                <w:sz w:val="20"/>
                <w:szCs w:val="20"/>
              </w:rPr>
              <w:t xml:space="preserve"> or upon entry</w:t>
            </w:r>
          </w:p>
        </w:tc>
      </w:tr>
      <w:tr w:rsidR="00660D72" w:rsidRPr="00F1413D" w:rsidTr="00D44C84">
        <w:tc>
          <w:tcPr>
            <w:tcW w:w="656" w:type="dxa"/>
            <w:vAlign w:val="center"/>
          </w:tcPr>
          <w:p w:rsidR="00660D72" w:rsidRPr="00F1413D" w:rsidRDefault="00660D72" w:rsidP="00E4617F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660D72" w:rsidRPr="00F1413D" w:rsidRDefault="00660D72" w:rsidP="00E4617F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988" w:type="dxa"/>
            <w:vAlign w:val="center"/>
          </w:tcPr>
          <w:p w:rsidR="00660D72" w:rsidRPr="00F1413D" w:rsidRDefault="00660D72" w:rsidP="00E4617F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  <w:r w:rsidRPr="00F1413D">
              <w:rPr>
                <w:shadow w:val="0"/>
                <w:sz w:val="20"/>
                <w:szCs w:val="20"/>
              </w:rPr>
              <w:t>Emergency response plan</w:t>
            </w:r>
          </w:p>
        </w:tc>
      </w:tr>
      <w:tr w:rsidR="00660D72" w:rsidRPr="00F1413D" w:rsidTr="00D44C84">
        <w:tc>
          <w:tcPr>
            <w:tcW w:w="656" w:type="dxa"/>
          </w:tcPr>
          <w:p w:rsidR="00660D72" w:rsidRPr="00F1413D" w:rsidRDefault="00660D72" w:rsidP="00F1413D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16" w:type="dxa"/>
          </w:tcPr>
          <w:p w:rsidR="00660D72" w:rsidRPr="00F1413D" w:rsidRDefault="00660D72" w:rsidP="00F1413D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988" w:type="dxa"/>
            <w:vAlign w:val="center"/>
          </w:tcPr>
          <w:p w:rsidR="00660D72" w:rsidRPr="00F1413D" w:rsidRDefault="00660D72" w:rsidP="00F1413D">
            <w:pPr>
              <w:pStyle w:val="Heading1"/>
              <w:jc w:val="left"/>
              <w:rPr>
                <w:shadow w:val="0"/>
                <w:sz w:val="20"/>
                <w:szCs w:val="20"/>
              </w:rPr>
            </w:pPr>
            <w:r w:rsidRPr="00F1413D">
              <w:rPr>
                <w:bCs/>
                <w:shadow w:val="0"/>
                <w:sz w:val="20"/>
                <w:szCs w:val="20"/>
              </w:rPr>
              <w:t>Educate student about potential asthma complications</w:t>
            </w:r>
            <w:r w:rsidR="001C6761">
              <w:rPr>
                <w:shadow w:val="0"/>
                <w:sz w:val="20"/>
                <w:szCs w:val="20"/>
              </w:rPr>
              <w:t xml:space="preserve">: </w:t>
            </w:r>
          </w:p>
          <w:p w:rsidR="00660D72" w:rsidRPr="00F1413D" w:rsidRDefault="00660D72" w:rsidP="008B6D1E">
            <w:pPr>
              <w:pStyle w:val="Heading1"/>
              <w:numPr>
                <w:ilvl w:val="0"/>
                <w:numId w:val="9"/>
              </w:numPr>
              <w:tabs>
                <w:tab w:val="clear" w:pos="360"/>
                <w:tab w:val="num" w:pos="518"/>
              </w:tabs>
              <w:ind w:left="518" w:hanging="270"/>
              <w:jc w:val="left"/>
              <w:rPr>
                <w:shadow w:val="0"/>
                <w:sz w:val="20"/>
                <w:szCs w:val="20"/>
              </w:rPr>
            </w:pPr>
            <w:r w:rsidRPr="00F1413D">
              <w:rPr>
                <w:shadow w:val="0"/>
                <w:sz w:val="20"/>
                <w:szCs w:val="20"/>
              </w:rPr>
              <w:t>Chronic lung disease</w:t>
            </w:r>
          </w:p>
          <w:p w:rsidR="00660D72" w:rsidRPr="00F1413D" w:rsidRDefault="00660D72" w:rsidP="008B6D1E">
            <w:pPr>
              <w:pStyle w:val="Heading1"/>
              <w:numPr>
                <w:ilvl w:val="0"/>
                <w:numId w:val="9"/>
              </w:numPr>
              <w:tabs>
                <w:tab w:val="clear" w:pos="360"/>
                <w:tab w:val="num" w:pos="518"/>
              </w:tabs>
              <w:ind w:left="518" w:hanging="270"/>
              <w:jc w:val="left"/>
              <w:rPr>
                <w:shadow w:val="0"/>
                <w:sz w:val="20"/>
                <w:szCs w:val="20"/>
              </w:rPr>
            </w:pPr>
            <w:r w:rsidRPr="00F1413D">
              <w:rPr>
                <w:shadow w:val="0"/>
                <w:sz w:val="20"/>
                <w:szCs w:val="20"/>
              </w:rPr>
              <w:t>Respiratory failure</w:t>
            </w:r>
          </w:p>
          <w:p w:rsidR="00660D72" w:rsidRPr="00F1413D" w:rsidRDefault="00660D72" w:rsidP="008B6D1E">
            <w:pPr>
              <w:pStyle w:val="Heading1"/>
              <w:numPr>
                <w:ilvl w:val="0"/>
                <w:numId w:val="9"/>
              </w:numPr>
              <w:tabs>
                <w:tab w:val="clear" w:pos="360"/>
                <w:tab w:val="num" w:pos="518"/>
              </w:tabs>
              <w:ind w:left="518" w:hanging="270"/>
              <w:jc w:val="left"/>
              <w:rPr>
                <w:shadow w:val="0"/>
                <w:sz w:val="20"/>
                <w:szCs w:val="20"/>
              </w:rPr>
            </w:pPr>
            <w:proofErr w:type="spellStart"/>
            <w:r w:rsidRPr="00F1413D">
              <w:rPr>
                <w:shadow w:val="0"/>
                <w:sz w:val="20"/>
                <w:szCs w:val="20"/>
              </w:rPr>
              <w:t>Pneumothorax</w:t>
            </w:r>
            <w:proofErr w:type="spellEnd"/>
            <w:r w:rsidRPr="00F1413D">
              <w:rPr>
                <w:shadow w:val="0"/>
                <w:sz w:val="20"/>
                <w:szCs w:val="20"/>
              </w:rPr>
              <w:t xml:space="preserve"> (collapsed lung)</w:t>
            </w:r>
          </w:p>
          <w:p w:rsidR="00660D72" w:rsidRPr="00F1413D" w:rsidRDefault="00660D72" w:rsidP="008B6D1E">
            <w:pPr>
              <w:pStyle w:val="Heading1"/>
              <w:numPr>
                <w:ilvl w:val="0"/>
                <w:numId w:val="9"/>
              </w:numPr>
              <w:tabs>
                <w:tab w:val="clear" w:pos="360"/>
                <w:tab w:val="num" w:pos="518"/>
              </w:tabs>
              <w:ind w:left="518" w:hanging="270"/>
              <w:jc w:val="left"/>
              <w:rPr>
                <w:b/>
                <w:bCs/>
                <w:shadow w:val="0"/>
                <w:sz w:val="20"/>
                <w:szCs w:val="20"/>
              </w:rPr>
            </w:pPr>
            <w:r w:rsidRPr="00F1413D">
              <w:rPr>
                <w:shadow w:val="0"/>
                <w:sz w:val="20"/>
                <w:szCs w:val="20"/>
              </w:rPr>
              <w:t>Death</w:t>
            </w:r>
          </w:p>
        </w:tc>
      </w:tr>
      <w:tr w:rsidR="00660D72" w:rsidRPr="00F1413D" w:rsidTr="00D44C84">
        <w:tc>
          <w:tcPr>
            <w:tcW w:w="656" w:type="dxa"/>
          </w:tcPr>
          <w:p w:rsidR="00660D72" w:rsidRPr="00F1413D" w:rsidRDefault="00660D72" w:rsidP="00F1413D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16" w:type="dxa"/>
          </w:tcPr>
          <w:p w:rsidR="00660D72" w:rsidRPr="00F1413D" w:rsidRDefault="00660D72" w:rsidP="00F1413D">
            <w:pPr>
              <w:pStyle w:val="Heading1"/>
              <w:jc w:val="left"/>
              <w:rPr>
                <w:b/>
                <w:bCs/>
                <w:shadow w:val="0"/>
                <w:sz w:val="20"/>
                <w:szCs w:val="20"/>
              </w:rPr>
            </w:pPr>
          </w:p>
        </w:tc>
        <w:tc>
          <w:tcPr>
            <w:tcW w:w="7988" w:type="dxa"/>
            <w:vAlign w:val="center"/>
          </w:tcPr>
          <w:p w:rsidR="00660D72" w:rsidRPr="00F1413D" w:rsidRDefault="00660D72" w:rsidP="00F1413D">
            <w:pPr>
              <w:pStyle w:val="Heading1"/>
              <w:jc w:val="left"/>
              <w:rPr>
                <w:bCs/>
                <w:shadow w:val="0"/>
                <w:sz w:val="20"/>
                <w:szCs w:val="20"/>
              </w:rPr>
            </w:pPr>
            <w:r w:rsidRPr="00F1413D">
              <w:rPr>
                <w:bCs/>
                <w:shadow w:val="0"/>
                <w:sz w:val="20"/>
                <w:szCs w:val="20"/>
              </w:rPr>
              <w:t>Educate student about lifestyle choices</w:t>
            </w:r>
            <w:r w:rsidR="001C6761">
              <w:rPr>
                <w:bCs/>
                <w:shadow w:val="0"/>
                <w:sz w:val="20"/>
                <w:szCs w:val="20"/>
              </w:rPr>
              <w:t xml:space="preserve">: </w:t>
            </w:r>
          </w:p>
          <w:p w:rsidR="00660D72" w:rsidRPr="00F1413D" w:rsidRDefault="00660D72" w:rsidP="008B6D1E">
            <w:pPr>
              <w:pStyle w:val="Heading1"/>
              <w:numPr>
                <w:ilvl w:val="0"/>
                <w:numId w:val="9"/>
              </w:numPr>
              <w:tabs>
                <w:tab w:val="clear" w:pos="360"/>
                <w:tab w:val="num" w:pos="518"/>
              </w:tabs>
              <w:ind w:left="518" w:hanging="270"/>
              <w:jc w:val="left"/>
              <w:rPr>
                <w:shadow w:val="0"/>
                <w:sz w:val="20"/>
                <w:szCs w:val="20"/>
              </w:rPr>
            </w:pPr>
            <w:r w:rsidRPr="00F1413D">
              <w:rPr>
                <w:shadow w:val="0"/>
                <w:sz w:val="20"/>
                <w:szCs w:val="20"/>
              </w:rPr>
              <w:t xml:space="preserve">Limit occupational exposure to respiratory irritants </w:t>
            </w:r>
          </w:p>
          <w:p w:rsidR="00660D72" w:rsidRPr="00F1413D" w:rsidRDefault="00660D72" w:rsidP="008B6D1E">
            <w:pPr>
              <w:pStyle w:val="Heading1"/>
              <w:numPr>
                <w:ilvl w:val="0"/>
                <w:numId w:val="9"/>
              </w:numPr>
              <w:tabs>
                <w:tab w:val="clear" w:pos="360"/>
                <w:tab w:val="num" w:pos="518"/>
              </w:tabs>
              <w:ind w:left="518" w:hanging="270"/>
              <w:jc w:val="left"/>
              <w:rPr>
                <w:shadow w:val="0"/>
                <w:sz w:val="20"/>
                <w:szCs w:val="20"/>
              </w:rPr>
            </w:pPr>
            <w:r w:rsidRPr="00F1413D">
              <w:rPr>
                <w:shadow w:val="0"/>
                <w:sz w:val="20"/>
                <w:szCs w:val="20"/>
              </w:rPr>
              <w:t>Avoid smoking, second hand smoke, and illicit drug use</w:t>
            </w:r>
          </w:p>
          <w:p w:rsidR="00660D72" w:rsidRPr="00F1413D" w:rsidRDefault="00660D72" w:rsidP="008B6D1E">
            <w:pPr>
              <w:pStyle w:val="Heading1"/>
              <w:numPr>
                <w:ilvl w:val="0"/>
                <w:numId w:val="9"/>
              </w:numPr>
              <w:tabs>
                <w:tab w:val="clear" w:pos="360"/>
                <w:tab w:val="num" w:pos="518"/>
              </w:tabs>
              <w:ind w:left="518" w:hanging="270"/>
              <w:jc w:val="left"/>
              <w:rPr>
                <w:shadow w:val="0"/>
                <w:sz w:val="20"/>
                <w:szCs w:val="20"/>
              </w:rPr>
            </w:pPr>
            <w:r w:rsidRPr="00F1413D">
              <w:rPr>
                <w:shadow w:val="0"/>
                <w:sz w:val="20"/>
                <w:szCs w:val="20"/>
              </w:rPr>
              <w:t>Weight management</w:t>
            </w:r>
          </w:p>
          <w:p w:rsidR="00660D72" w:rsidRPr="00F1413D" w:rsidRDefault="00660D72" w:rsidP="008B6D1E">
            <w:pPr>
              <w:pStyle w:val="Heading1"/>
              <w:numPr>
                <w:ilvl w:val="0"/>
                <w:numId w:val="9"/>
              </w:numPr>
              <w:tabs>
                <w:tab w:val="clear" w:pos="360"/>
                <w:tab w:val="num" w:pos="518"/>
              </w:tabs>
              <w:ind w:left="518" w:hanging="270"/>
              <w:jc w:val="left"/>
              <w:rPr>
                <w:shadow w:val="0"/>
                <w:sz w:val="20"/>
                <w:szCs w:val="20"/>
              </w:rPr>
            </w:pPr>
            <w:r w:rsidRPr="00F1413D">
              <w:rPr>
                <w:shadow w:val="0"/>
                <w:sz w:val="20"/>
                <w:szCs w:val="20"/>
              </w:rPr>
              <w:t>Encourage fruits, vegetables, low fat milk, increased fiber</w:t>
            </w:r>
          </w:p>
          <w:p w:rsidR="00660D72" w:rsidRPr="00F1413D" w:rsidRDefault="00660D72" w:rsidP="008B6D1E">
            <w:pPr>
              <w:pStyle w:val="Heading1"/>
              <w:numPr>
                <w:ilvl w:val="0"/>
                <w:numId w:val="9"/>
              </w:numPr>
              <w:tabs>
                <w:tab w:val="clear" w:pos="360"/>
                <w:tab w:val="num" w:pos="518"/>
              </w:tabs>
              <w:ind w:left="518" w:hanging="270"/>
              <w:jc w:val="left"/>
              <w:rPr>
                <w:shadow w:val="0"/>
                <w:sz w:val="20"/>
                <w:szCs w:val="20"/>
              </w:rPr>
            </w:pPr>
            <w:r w:rsidRPr="00F1413D">
              <w:rPr>
                <w:shadow w:val="0"/>
                <w:sz w:val="20"/>
                <w:szCs w:val="20"/>
              </w:rPr>
              <w:t>Avoid soda and fruit juices</w:t>
            </w:r>
          </w:p>
          <w:p w:rsidR="00660D72" w:rsidRPr="00F1413D" w:rsidRDefault="00660D72" w:rsidP="008B6D1E">
            <w:pPr>
              <w:pStyle w:val="Heading1"/>
              <w:numPr>
                <w:ilvl w:val="0"/>
                <w:numId w:val="9"/>
              </w:numPr>
              <w:tabs>
                <w:tab w:val="clear" w:pos="360"/>
                <w:tab w:val="num" w:pos="518"/>
              </w:tabs>
              <w:ind w:left="518" w:hanging="270"/>
              <w:jc w:val="left"/>
              <w:rPr>
                <w:shadow w:val="0"/>
                <w:sz w:val="20"/>
                <w:szCs w:val="20"/>
              </w:rPr>
            </w:pPr>
            <w:r w:rsidRPr="00F1413D">
              <w:rPr>
                <w:shadow w:val="0"/>
                <w:sz w:val="20"/>
                <w:szCs w:val="20"/>
              </w:rPr>
              <w:t>Encourage aerobic physical activity (30 minutes per day, 5 days per week)</w:t>
            </w:r>
          </w:p>
          <w:p w:rsidR="00660D72" w:rsidRPr="00F1413D" w:rsidRDefault="00660D72" w:rsidP="008B6D1E">
            <w:pPr>
              <w:pStyle w:val="Heading1"/>
              <w:numPr>
                <w:ilvl w:val="0"/>
                <w:numId w:val="9"/>
              </w:numPr>
              <w:tabs>
                <w:tab w:val="clear" w:pos="360"/>
                <w:tab w:val="num" w:pos="518"/>
              </w:tabs>
              <w:ind w:left="518" w:hanging="270"/>
              <w:jc w:val="left"/>
              <w:rPr>
                <w:shadow w:val="0"/>
                <w:sz w:val="20"/>
                <w:szCs w:val="20"/>
              </w:rPr>
            </w:pPr>
            <w:r w:rsidRPr="00F1413D">
              <w:rPr>
                <w:shadow w:val="0"/>
                <w:sz w:val="20"/>
                <w:szCs w:val="20"/>
              </w:rPr>
              <w:t>Avoid sedentary lifestyle (limit TV</w:t>
            </w:r>
            <w:r w:rsidR="004C62D9" w:rsidRPr="00F1413D">
              <w:rPr>
                <w:shadow w:val="0"/>
                <w:sz w:val="20"/>
                <w:szCs w:val="20"/>
              </w:rPr>
              <w:t xml:space="preserve"> and </w:t>
            </w:r>
            <w:r w:rsidR="006028B1" w:rsidRPr="00F1413D">
              <w:rPr>
                <w:shadow w:val="0"/>
                <w:sz w:val="20"/>
                <w:szCs w:val="20"/>
              </w:rPr>
              <w:t xml:space="preserve">other </w:t>
            </w:r>
            <w:r w:rsidR="004C62D9" w:rsidRPr="00F1413D">
              <w:rPr>
                <w:shadow w:val="0"/>
                <w:sz w:val="20"/>
                <w:szCs w:val="20"/>
              </w:rPr>
              <w:t>screen time</w:t>
            </w:r>
            <w:r w:rsidRPr="00F1413D">
              <w:rPr>
                <w:shadow w:val="0"/>
                <w:sz w:val="20"/>
                <w:szCs w:val="20"/>
              </w:rPr>
              <w:t>)</w:t>
            </w:r>
          </w:p>
          <w:p w:rsidR="00F1413D" w:rsidRPr="00F1413D" w:rsidRDefault="00660D72" w:rsidP="008B6D1E">
            <w:pPr>
              <w:pStyle w:val="Heading1"/>
              <w:numPr>
                <w:ilvl w:val="0"/>
                <w:numId w:val="9"/>
              </w:numPr>
              <w:tabs>
                <w:tab w:val="clear" w:pos="360"/>
                <w:tab w:val="num" w:pos="518"/>
              </w:tabs>
              <w:ind w:left="518" w:hanging="270"/>
              <w:jc w:val="left"/>
              <w:rPr>
                <w:shadow w:val="0"/>
                <w:sz w:val="20"/>
                <w:szCs w:val="20"/>
              </w:rPr>
            </w:pPr>
            <w:r w:rsidRPr="00F1413D">
              <w:rPr>
                <w:shadow w:val="0"/>
                <w:sz w:val="20"/>
                <w:szCs w:val="20"/>
              </w:rPr>
              <w:t>Limit alcohol use</w:t>
            </w:r>
          </w:p>
        </w:tc>
      </w:tr>
      <w:tr w:rsidR="00660D72" w:rsidRPr="00E4617F" w:rsidTr="00D44C84">
        <w:tc>
          <w:tcPr>
            <w:tcW w:w="656" w:type="dxa"/>
            <w:vAlign w:val="center"/>
          </w:tcPr>
          <w:p w:rsidR="00660D72" w:rsidRPr="00F1413D" w:rsidRDefault="00660D72" w:rsidP="00E4617F">
            <w:pPr>
              <w:pStyle w:val="Heading1"/>
              <w:jc w:val="left"/>
              <w:rPr>
                <w:bCs/>
                <w:shadow w:val="0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660D72" w:rsidRPr="00F1413D" w:rsidRDefault="00660D72" w:rsidP="00E46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8" w:type="dxa"/>
            <w:vAlign w:val="center"/>
          </w:tcPr>
          <w:p w:rsidR="00660D72" w:rsidRPr="00F1413D" w:rsidRDefault="00660D72" w:rsidP="00594A11">
            <w:pPr>
              <w:pStyle w:val="Heading6"/>
              <w:rPr>
                <w:b w:val="0"/>
                <w:szCs w:val="20"/>
              </w:rPr>
            </w:pPr>
            <w:r w:rsidRPr="00F1413D">
              <w:rPr>
                <w:b w:val="0"/>
                <w:szCs w:val="20"/>
              </w:rPr>
              <w:t xml:space="preserve">Educate student on </w:t>
            </w:r>
            <w:r w:rsidR="00594A11">
              <w:rPr>
                <w:b w:val="0"/>
                <w:szCs w:val="20"/>
              </w:rPr>
              <w:t xml:space="preserve">asthma </w:t>
            </w:r>
            <w:r w:rsidRPr="00F1413D">
              <w:rPr>
                <w:b w:val="0"/>
                <w:szCs w:val="20"/>
              </w:rPr>
              <w:t>management as it relates to employment</w:t>
            </w:r>
          </w:p>
        </w:tc>
      </w:tr>
    </w:tbl>
    <w:p w:rsidR="00660D72" w:rsidRPr="00E4617F" w:rsidRDefault="00660D72" w:rsidP="00502C9C">
      <w:pPr>
        <w:rPr>
          <w:sz w:val="2"/>
          <w:szCs w:val="2"/>
        </w:rPr>
      </w:pPr>
    </w:p>
    <w:sectPr w:rsidR="00660D72" w:rsidRPr="00E4617F" w:rsidSect="00AE3235"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C84" w:rsidRDefault="00D44C84">
      <w:r>
        <w:separator/>
      </w:r>
    </w:p>
  </w:endnote>
  <w:endnote w:type="continuationSeparator" w:id="0">
    <w:p w:rsidR="00D44C84" w:rsidRDefault="00D44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C84" w:rsidRPr="003E617A" w:rsidRDefault="005E78EF" w:rsidP="003E617A">
    <w:pPr>
      <w:pStyle w:val="Footer"/>
      <w:pBdr>
        <w:top w:val="single" w:sz="4" w:space="1" w:color="auto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April</w:t>
    </w:r>
    <w:r w:rsidR="00D44C84" w:rsidRPr="003E617A">
      <w:rPr>
        <w:rFonts w:ascii="Arial" w:hAnsi="Arial" w:cs="Arial"/>
        <w:sz w:val="20"/>
        <w:szCs w:val="20"/>
      </w:rPr>
      <w:t xml:space="preserve">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C84" w:rsidRDefault="00D44C84">
      <w:r>
        <w:separator/>
      </w:r>
    </w:p>
  </w:footnote>
  <w:footnote w:type="continuationSeparator" w:id="0">
    <w:p w:rsidR="00D44C84" w:rsidRDefault="00D44C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81F4D"/>
    <w:multiLevelType w:val="hybridMultilevel"/>
    <w:tmpl w:val="813EC550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0F1E00"/>
    <w:multiLevelType w:val="hybridMultilevel"/>
    <w:tmpl w:val="53288A00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1D4A93"/>
    <w:multiLevelType w:val="hybridMultilevel"/>
    <w:tmpl w:val="36BC2710"/>
    <w:lvl w:ilvl="0" w:tplc="622C8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8D6AC5"/>
    <w:multiLevelType w:val="hybridMultilevel"/>
    <w:tmpl w:val="813EC550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2644537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681F45"/>
    <w:multiLevelType w:val="hybridMultilevel"/>
    <w:tmpl w:val="899ED95C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B67BC6"/>
    <w:multiLevelType w:val="hybridMultilevel"/>
    <w:tmpl w:val="69BCD3F0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A20100"/>
    <w:multiLevelType w:val="multilevel"/>
    <w:tmpl w:val="36002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315DE9"/>
    <w:multiLevelType w:val="hybridMultilevel"/>
    <w:tmpl w:val="E1286138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9E686B"/>
    <w:multiLevelType w:val="hybridMultilevel"/>
    <w:tmpl w:val="DCE0FE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68158A"/>
    <w:multiLevelType w:val="hybridMultilevel"/>
    <w:tmpl w:val="E500DAE4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227D8D"/>
    <w:multiLevelType w:val="hybridMultilevel"/>
    <w:tmpl w:val="B31E2C14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0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7E8"/>
    <w:rsid w:val="00083EE6"/>
    <w:rsid w:val="000D18E2"/>
    <w:rsid w:val="000E734A"/>
    <w:rsid w:val="00156F79"/>
    <w:rsid w:val="001B2CE9"/>
    <w:rsid w:val="001C6761"/>
    <w:rsid w:val="001F0E0A"/>
    <w:rsid w:val="00207FA5"/>
    <w:rsid w:val="002A7A3A"/>
    <w:rsid w:val="002C10E8"/>
    <w:rsid w:val="003658EA"/>
    <w:rsid w:val="003E617A"/>
    <w:rsid w:val="00400B5F"/>
    <w:rsid w:val="00402FC9"/>
    <w:rsid w:val="004237E8"/>
    <w:rsid w:val="004A7BAF"/>
    <w:rsid w:val="004C62D9"/>
    <w:rsid w:val="004D7250"/>
    <w:rsid w:val="004F5DF2"/>
    <w:rsid w:val="00502C9C"/>
    <w:rsid w:val="00515288"/>
    <w:rsid w:val="00547070"/>
    <w:rsid w:val="00572629"/>
    <w:rsid w:val="00594A11"/>
    <w:rsid w:val="005E0351"/>
    <w:rsid w:val="005E78EF"/>
    <w:rsid w:val="006028B1"/>
    <w:rsid w:val="00660D72"/>
    <w:rsid w:val="00680AB9"/>
    <w:rsid w:val="006B3F7C"/>
    <w:rsid w:val="006E7002"/>
    <w:rsid w:val="00734E2C"/>
    <w:rsid w:val="00786F54"/>
    <w:rsid w:val="00795065"/>
    <w:rsid w:val="00880B52"/>
    <w:rsid w:val="008A386C"/>
    <w:rsid w:val="008B6D1E"/>
    <w:rsid w:val="008D4DA1"/>
    <w:rsid w:val="00934995"/>
    <w:rsid w:val="00A726D6"/>
    <w:rsid w:val="00A8779E"/>
    <w:rsid w:val="00A95381"/>
    <w:rsid w:val="00AD5758"/>
    <w:rsid w:val="00AE3235"/>
    <w:rsid w:val="00B473CA"/>
    <w:rsid w:val="00B815E7"/>
    <w:rsid w:val="00BA2BE1"/>
    <w:rsid w:val="00BC35A3"/>
    <w:rsid w:val="00BD5C2A"/>
    <w:rsid w:val="00BF3678"/>
    <w:rsid w:val="00C1403F"/>
    <w:rsid w:val="00C82639"/>
    <w:rsid w:val="00CE1D0A"/>
    <w:rsid w:val="00CF6706"/>
    <w:rsid w:val="00D44C84"/>
    <w:rsid w:val="00D5573C"/>
    <w:rsid w:val="00D65CC5"/>
    <w:rsid w:val="00DA6C80"/>
    <w:rsid w:val="00DE455B"/>
    <w:rsid w:val="00DE636C"/>
    <w:rsid w:val="00DF3251"/>
    <w:rsid w:val="00DF3ADF"/>
    <w:rsid w:val="00E4617F"/>
    <w:rsid w:val="00E7620C"/>
    <w:rsid w:val="00E97B32"/>
    <w:rsid w:val="00EA6FFB"/>
    <w:rsid w:val="00EB4CEB"/>
    <w:rsid w:val="00F1413D"/>
    <w:rsid w:val="00F761E0"/>
    <w:rsid w:val="00FD497F"/>
    <w:rsid w:val="00FE1287"/>
    <w:rsid w:val="00FF4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1D0A"/>
    <w:rPr>
      <w:sz w:val="24"/>
      <w:szCs w:val="24"/>
    </w:rPr>
  </w:style>
  <w:style w:type="paragraph" w:styleId="Heading1">
    <w:name w:val="heading 1"/>
    <w:basedOn w:val="Normal"/>
    <w:next w:val="Normal"/>
    <w:qFormat/>
    <w:rsid w:val="00CE1D0A"/>
    <w:pPr>
      <w:autoSpaceDE w:val="0"/>
      <w:autoSpaceDN w:val="0"/>
      <w:adjustRightInd w:val="0"/>
      <w:jc w:val="center"/>
      <w:outlineLvl w:val="0"/>
    </w:pPr>
    <w:rPr>
      <w:rFonts w:ascii="Arial" w:hAnsi="Arial" w:cs="Arial"/>
      <w:shadow/>
      <w:sz w:val="44"/>
      <w:szCs w:val="44"/>
    </w:rPr>
  </w:style>
  <w:style w:type="paragraph" w:styleId="Heading2">
    <w:name w:val="heading 2"/>
    <w:basedOn w:val="Normal"/>
    <w:next w:val="Normal"/>
    <w:qFormat/>
    <w:rsid w:val="00CE1D0A"/>
    <w:pPr>
      <w:autoSpaceDE w:val="0"/>
      <w:autoSpaceDN w:val="0"/>
      <w:adjustRightInd w:val="0"/>
      <w:ind w:left="270" w:hanging="270"/>
      <w:outlineLvl w:val="1"/>
    </w:pPr>
    <w:rPr>
      <w:rFonts w:ascii="Arial" w:hAnsi="Arial" w:cs="Arial"/>
      <w:shadow/>
      <w:sz w:val="32"/>
      <w:szCs w:val="32"/>
    </w:rPr>
  </w:style>
  <w:style w:type="paragraph" w:styleId="Heading3">
    <w:name w:val="heading 3"/>
    <w:basedOn w:val="Normal"/>
    <w:next w:val="Normal"/>
    <w:qFormat/>
    <w:rsid w:val="00CE1D0A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CE1D0A"/>
    <w:pPr>
      <w:keepNext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qFormat/>
    <w:rsid w:val="00CE1D0A"/>
    <w:pPr>
      <w:keepNext/>
      <w:ind w:left="2610" w:firstLine="720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rsid w:val="00CE1D0A"/>
    <w:pPr>
      <w:keepNext/>
      <w:outlineLvl w:val="5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E1D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1D0A"/>
  </w:style>
  <w:style w:type="paragraph" w:styleId="Title">
    <w:name w:val="Title"/>
    <w:basedOn w:val="Normal"/>
    <w:qFormat/>
    <w:rsid w:val="00CE1D0A"/>
    <w:pPr>
      <w:jc w:val="center"/>
    </w:pPr>
    <w:rPr>
      <w:rFonts w:ascii="Arial" w:hAnsi="Arial" w:cs="Arial"/>
      <w:b/>
      <w:sz w:val="28"/>
    </w:rPr>
  </w:style>
  <w:style w:type="paragraph" w:styleId="BodyText">
    <w:name w:val="Body Text"/>
    <w:basedOn w:val="Normal"/>
    <w:rsid w:val="00CE1D0A"/>
    <w:rPr>
      <w:b/>
    </w:rPr>
  </w:style>
  <w:style w:type="character" w:styleId="Hyperlink">
    <w:name w:val="Hyperlink"/>
    <w:basedOn w:val="DefaultParagraphFont"/>
    <w:rsid w:val="00CE1D0A"/>
    <w:rPr>
      <w:color w:val="0000FF"/>
      <w:u w:val="single"/>
    </w:rPr>
  </w:style>
  <w:style w:type="paragraph" w:styleId="BodyTextIndent">
    <w:name w:val="Body Text Indent"/>
    <w:basedOn w:val="Normal"/>
    <w:rsid w:val="00CE1D0A"/>
    <w:pPr>
      <w:tabs>
        <w:tab w:val="left" w:pos="540"/>
      </w:tabs>
      <w:ind w:left="540" w:hanging="540"/>
    </w:pPr>
    <w:rPr>
      <w:rFonts w:ascii="Arial" w:hAnsi="Arial" w:cs="Arial"/>
      <w:szCs w:val="20"/>
    </w:rPr>
  </w:style>
  <w:style w:type="paragraph" w:styleId="Header">
    <w:name w:val="header"/>
    <w:basedOn w:val="Normal"/>
    <w:rsid w:val="00CE1D0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D7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1F0E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0E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0E0A"/>
  </w:style>
  <w:style w:type="paragraph" w:styleId="CommentSubject">
    <w:name w:val="annotation subject"/>
    <w:basedOn w:val="CommentText"/>
    <w:next w:val="CommentText"/>
    <w:link w:val="CommentSubjectChar"/>
    <w:rsid w:val="001F0E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0E0A"/>
    <w:rPr>
      <w:b/>
      <w:bCs/>
    </w:rPr>
  </w:style>
  <w:style w:type="paragraph" w:styleId="BalloonText">
    <w:name w:val="Balloon Text"/>
    <w:basedOn w:val="Normal"/>
    <w:link w:val="BalloonTextChar"/>
    <w:rsid w:val="001F0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0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XRUYQT3274NZ-681238054-1052</_dlc_DocId>
    <_dlc_DocIdUrl xmlns="b22f8f74-215c-4154-9939-bd29e4e8980e">
      <Url>https://supportservices.jobcorps.gov/health/_layouts/15/DocIdRedir.aspx?ID=XRUYQT3274NZ-681238054-1052</Url>
      <Description>XRUYQT3274NZ-681238054-1052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5C040A2-BC3A-4526-A79E-47C7313A6DB5}"/>
</file>

<file path=customXml/itemProps2.xml><?xml version="1.0" encoding="utf-8"?>
<ds:datastoreItem xmlns:ds="http://schemas.openxmlformats.org/officeDocument/2006/customXml" ds:itemID="{A65111D8-2671-4B5E-8F6D-0B403CCBF428}"/>
</file>

<file path=customXml/itemProps3.xml><?xml version="1.0" encoding="utf-8"?>
<ds:datastoreItem xmlns:ds="http://schemas.openxmlformats.org/officeDocument/2006/customXml" ds:itemID="{58BD6278-5511-4B11-ACA9-25A471DF8E77}"/>
</file>

<file path=customXml/itemProps4.xml><?xml version="1.0" encoding="utf-8"?>
<ds:datastoreItem xmlns:ds="http://schemas.openxmlformats.org/officeDocument/2006/customXml" ds:itemID="{D1D665D2-67CC-4D66-A411-12F918172830}"/>
</file>

<file path=customXml/itemProps5.xml><?xml version="1.0" encoding="utf-8"?>
<ds:datastoreItem xmlns:ds="http://schemas.openxmlformats.org/officeDocument/2006/customXml" ds:itemID="{ECD9DE75-4A78-4EA4-824D-41A144F8A1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299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Asthma Chronic Care Management Plan</vt:lpstr>
    </vt:vector>
  </TitlesOfParts>
  <Company>Humanitas, Inc.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Asthma Chronic Care Management Plan</dc:title>
  <dc:creator>jdavis</dc:creator>
  <cp:lastModifiedBy>Christine Phoebus</cp:lastModifiedBy>
  <cp:revision>33</cp:revision>
  <cp:lastPrinted>2014-03-14T16:08:00Z</cp:lastPrinted>
  <dcterms:created xsi:type="dcterms:W3CDTF">2014-02-10T17:42:00Z</dcterms:created>
  <dcterms:modified xsi:type="dcterms:W3CDTF">2014-04-10T21:17:00Z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0x010100321BBDD672BAB240AE25E8C18386348A</vt:lpwstr>
  </property>
  <property fmtid="{D5CDD505-2E9C-101B-9397-08002B2CF9AE}" pid="4" name="_dlc_DocIdItemGuid">
    <vt:lpwstr>4fc59f21-d97d-44e7-90ad-6fb7413b95c3</vt:lpwstr>
  </property>
</Properties>
</file>