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5" w:rsidRPr="00C76795" w:rsidRDefault="00365525" w:rsidP="00A52D93">
      <w:pPr>
        <w:pStyle w:val="Heading2"/>
        <w:rPr>
          <w:color w:val="353461" w:themeColor="accent4" w:themeShade="BF"/>
        </w:rPr>
      </w:pPr>
      <w:r w:rsidRPr="00C76795">
        <w:rPr>
          <w:color w:val="353461" w:themeColor="accent4" w:themeShade="BF"/>
        </w:rPr>
        <w:t>Job Corps Chronic Care Management Plan</w:t>
      </w:r>
    </w:p>
    <w:p w:rsidR="00583345" w:rsidRDefault="00583345"/>
    <w:p w:rsidR="00583345" w:rsidRPr="00583345" w:rsidRDefault="000D569E" w:rsidP="00583345">
      <w:r>
        <w:rPr>
          <w:noProof/>
          <w:color w:val="F99F23" w:themeColor="accent5"/>
        </w:rPr>
        <w:drawing>
          <wp:anchor distT="0" distB="0" distL="114300" distR="114300" simplePos="0" relativeHeight="251682816" behindDoc="1" locked="0" layoutInCell="1" allowOverlap="1">
            <wp:simplePos x="0" y="0"/>
            <wp:positionH relativeFrom="column">
              <wp:posOffset>4987296</wp:posOffset>
            </wp:positionH>
            <wp:positionV relativeFrom="paragraph">
              <wp:posOffset>9426</wp:posOffset>
            </wp:positionV>
            <wp:extent cx="1945531" cy="1939305"/>
            <wp:effectExtent l="285750" t="266700" r="302369" b="251445"/>
            <wp:wrapNone/>
            <wp:docPr id="4" name="Picture 1" descr="cid:image001.png@01CC29C7.8A158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29C7.8A158A80"/>
                    <pic:cNvPicPr>
                      <a:picLocks noChangeAspect="1" noChangeArrowheads="1"/>
                    </pic:cNvPicPr>
                  </pic:nvPicPr>
                  <pic:blipFill>
                    <a:blip r:embed="rId7"/>
                    <a:stretch>
                      <a:fillRect/>
                    </a:stretch>
                  </pic:blipFill>
                  <pic:spPr bwMode="auto">
                    <a:xfrm rot="1648474">
                      <a:off x="0" y="0"/>
                      <a:ext cx="1945327" cy="1939102"/>
                    </a:xfrm>
                    <a:prstGeom prst="rect">
                      <a:avLst/>
                    </a:prstGeom>
                    <a:ln>
                      <a:noFill/>
                    </a:ln>
                    <a:effectLst>
                      <a:softEdge rad="112500"/>
                    </a:effectLst>
                  </pic:spPr>
                </pic:pic>
              </a:graphicData>
            </a:graphic>
          </wp:anchor>
        </w:drawing>
      </w:r>
      <w:r w:rsidR="005A1098" w:rsidRPr="005A1098">
        <w:rPr>
          <w:noProof/>
          <w:color w:val="F99F23" w:themeColor="accent5"/>
        </w:rPr>
        <w:pict>
          <v:shapetype id="_x0000_t202" coordsize="21600,21600" o:spt="202" path="m,l,21600r21600,l21600,xe">
            <v:stroke joinstyle="miter"/>
            <v:path gradientshapeok="t" o:connecttype="rect"/>
          </v:shapetype>
          <v:shape id="_x0000_s1054" type="#_x0000_t202" style="position:absolute;margin-left:48pt;margin-top:81.75pt;width:399pt;height:19.5pt;z-index:251692032;mso-position-horizontal-relative:page;mso-position-vertical-relative:page" filled="f" fillcolor="white [3212]" stroked="f">
            <v:textbox inset="0,0,0,0">
              <w:txbxContent>
                <w:p w:rsidR="00806362" w:rsidRPr="00ED6636" w:rsidRDefault="00806362" w:rsidP="00E94A15">
                  <w:pPr>
                    <w:pStyle w:val="Heading1"/>
                  </w:pPr>
                  <w:r>
                    <w:t>TOBACCO CESSATION: A</w:t>
                  </w:r>
                  <w:r w:rsidRPr="00ED6636">
                    <w:t xml:space="preserve"> </w:t>
                  </w:r>
                  <w:r>
                    <w:t>FACT SHEET</w:t>
                  </w:r>
                  <w:r w:rsidRPr="00ED6636">
                    <w:t xml:space="preserve"> FOR STUDENTS</w:t>
                  </w:r>
                </w:p>
                <w:p w:rsidR="00806362" w:rsidRDefault="00806362" w:rsidP="00E94A15">
                  <w:pPr>
                    <w:pStyle w:val="Heading1"/>
                  </w:pPr>
                </w:p>
              </w:txbxContent>
            </v:textbox>
            <w10:wrap anchorx="page" anchory="page"/>
          </v:shape>
        </w:pict>
      </w:r>
      <w:r w:rsidR="005A1098" w:rsidRPr="005A1098">
        <w:rPr>
          <w:noProof/>
          <w:color w:val="F99F23" w:themeColor="accent5"/>
        </w:rPr>
        <w:pict>
          <v:rect id="Rectangle 2" o:spid="_x0000_s1043" style="position:absolute;margin-left:37.85pt;margin-top:73.55pt;width:416.3pt;height:35.35pt;z-index:251691008;visibility:visible;mso-position-horizontal-relative:page;mso-position-vertical-relative:pag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" fillcolor="#8dc03f [3204]" strokecolor="#f2f2f2 [3041]" strokeweight="3pt">
            <v:shadow on="t" type="perspective" color="#465f1f [1604]" opacity=".5" offset="1pt" offset2="-1pt"/>
            <v:textbox inset=",7.2pt,,7.2pt"/>
            <w10:wrap anchorx="page" anchory="page"/>
          </v:rect>
        </w:pict>
      </w:r>
    </w:p>
    <w:p w:rsidR="00583345" w:rsidRPr="00583345" w:rsidRDefault="00583345" w:rsidP="00583345"/>
    <w:p w:rsidR="00583345" w:rsidRPr="00583345" w:rsidRDefault="005A1098" w:rsidP="00583345">
      <w:r>
        <w:rPr>
          <w:noProof/>
        </w:rPr>
        <w:pict>
          <v:shape id="_x0000_s1052" type="#_x0000_t202" style="position:absolute;margin-left:182.75pt;margin-top:7.25pt;width:180pt;height:579.75pt;z-index:251688960" filled="f" stroked="f">
            <v:textbox style="mso-next-textbox:#_x0000_s1053">
              <w:txbxContent/>
            </v:textbox>
          </v:shape>
        </w:pict>
      </w:r>
      <w:r>
        <w:rPr>
          <w:noProof/>
        </w:rPr>
        <w:pict>
          <v:shape id="_x0000_s1050" type="#_x0000_t202" style="position:absolute;margin-left:-3.4pt;margin-top:7.25pt;width:180pt;height:579.75pt;z-index:251687936" stroked="f">
            <v:textbox style="mso-next-textbox:#_x0000_s1052">
              <w:txbxContent>
                <w:p w:rsidR="00806362" w:rsidRPr="00583345" w:rsidRDefault="00806362" w:rsidP="00A52D93">
                  <w:pPr>
                    <w:pStyle w:val="Lead"/>
                  </w:pPr>
                  <w:r>
                    <w:t>Why should I quit tobacco use</w:t>
                  </w:r>
                  <w:r w:rsidRPr="00583345">
                    <w:t>?</w:t>
                  </w:r>
                </w:p>
                <w:p w:rsidR="00806362" w:rsidRDefault="00806362" w:rsidP="00381D29">
                  <w:r>
                    <w:t xml:space="preserve">Quitting tobacco use can improve your health, but it can be hard. </w:t>
                  </w:r>
                  <w:r w:rsidR="000C438F">
                    <w:t xml:space="preserve"> </w:t>
                  </w:r>
                  <w:r>
                    <w:t>It can lower your chances of getting or dying from heart disease, lung disease</w:t>
                  </w:r>
                  <w:r w:rsidR="000C438F">
                    <w:t>,</w:t>
                  </w:r>
                  <w:r>
                    <w:t xml:space="preserve"> or cancer. </w:t>
                  </w:r>
                  <w:r w:rsidR="000C438F">
                    <w:t xml:space="preserve"> </w:t>
                  </w:r>
                  <w:r>
                    <w:t xml:space="preserve">It can also lower your chances of getting brittle bones. </w:t>
                  </w:r>
                  <w:r w:rsidR="000C438F">
                    <w:t xml:space="preserve"> </w:t>
                  </w:r>
                  <w:r>
                    <w:t xml:space="preserve">It can help your skin look younger and your teeth healthier without tobacco stains. </w:t>
                  </w:r>
                  <w:r w:rsidR="000C438F">
                    <w:t xml:space="preserve"> </w:t>
                  </w:r>
                  <w:r>
                    <w:t xml:space="preserve">There are nicotine replacement therapies, medicines, and counseling that can make it easier. </w:t>
                  </w:r>
                  <w:r w:rsidR="000C438F">
                    <w:t xml:space="preserve"> </w:t>
                  </w:r>
                  <w:r>
                    <w:t>Talk to your doctor about which option is best for you.</w:t>
                  </w:r>
                </w:p>
                <w:p w:rsidR="00806362" w:rsidRPr="00186A7D" w:rsidRDefault="00806362" w:rsidP="00381D29">
                  <w:pPr>
                    <w:rPr>
                      <w:color w:val="000000" w:themeColor="text1"/>
                    </w:rPr>
                  </w:pPr>
                  <w:r w:rsidRPr="00CA3F14">
                    <w:rPr>
                      <w:noProof/>
                    </w:rPr>
                    <w:drawing>
                      <wp:inline distT="0" distB="0" distL="0" distR="0">
                        <wp:extent cx="2103120" cy="2103120"/>
                        <wp:effectExtent l="19050" t="0" r="0" b="0"/>
                        <wp:docPr id="3" name="irc_mi" descr="http://www1.marathon-health.com/wp-content/uploads/2011/11/smo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1.marathon-health.com/wp-content/uploads/2011/11/smoking.gif"/>
                                <pic:cNvPicPr>
                                  <a:picLocks noChangeAspect="1" noChangeArrowheads="1"/>
                                </pic:cNvPicPr>
                              </pic:nvPicPr>
                              <pic:blipFill>
                                <a:blip r:embed="rId8"/>
                                <a:srcRect/>
                                <a:stretch>
                                  <a:fillRect/>
                                </a:stretch>
                              </pic:blipFill>
                              <pic:spPr bwMode="auto">
                                <a:xfrm>
                                  <a:off x="0" y="0"/>
                                  <a:ext cx="2103120" cy="2103120"/>
                                </a:xfrm>
                                <a:prstGeom prst="rect">
                                  <a:avLst/>
                                </a:prstGeom>
                                <a:noFill/>
                                <a:ln w="9525">
                                  <a:noFill/>
                                  <a:miter lim="800000"/>
                                  <a:headEnd/>
                                  <a:tailEnd/>
                                </a:ln>
                              </pic:spPr>
                            </pic:pic>
                          </a:graphicData>
                        </a:graphic>
                      </wp:inline>
                    </w:drawing>
                  </w:r>
                </w:p>
                <w:p w:rsidR="00806362" w:rsidRDefault="00806362" w:rsidP="001F0F8A">
                  <w:pPr>
                    <w:pStyle w:val="Lead"/>
                  </w:pPr>
                  <w:r w:rsidRPr="00583345">
                    <w:t xml:space="preserve">What </w:t>
                  </w:r>
                  <w:r>
                    <w:t>can I do to quit tobacco use</w:t>
                  </w:r>
                  <w:r w:rsidRPr="00583345">
                    <w:t>?</w:t>
                  </w:r>
                </w:p>
                <w:p w:rsidR="00806362" w:rsidRPr="00806362" w:rsidRDefault="00DC3A96" w:rsidP="001F0F8A">
                  <w:pPr>
                    <w:pStyle w:val="Lead"/>
                    <w:rPr>
                      <w:b w:val="0"/>
                      <w:color w:val="auto"/>
                      <w:szCs w:val="24"/>
                    </w:rPr>
                  </w:pPr>
                  <w:r>
                    <w:rPr>
                      <w:b w:val="0"/>
                      <w:color w:val="auto"/>
                      <w:szCs w:val="24"/>
                    </w:rPr>
                    <w:t>Enrolling in y</w:t>
                  </w:r>
                  <w:r w:rsidR="00806362">
                    <w:rPr>
                      <w:b w:val="0"/>
                      <w:color w:val="auto"/>
                      <w:szCs w:val="24"/>
                    </w:rPr>
                    <w:t>our center’s</w:t>
                  </w:r>
                  <w:r w:rsidR="00806362" w:rsidRPr="00806362">
                    <w:rPr>
                      <w:b w:val="0"/>
                      <w:color w:val="auto"/>
                      <w:szCs w:val="24"/>
                    </w:rPr>
                    <w:t xml:space="preserve"> Tobacco Use Prevention Program (TUPP)</w:t>
                  </w:r>
                  <w:r w:rsidR="00806362">
                    <w:rPr>
                      <w:b w:val="0"/>
                      <w:color w:val="auto"/>
                      <w:szCs w:val="24"/>
                    </w:rPr>
                    <w:t xml:space="preserve"> can be </w:t>
                  </w:r>
                  <w:r>
                    <w:rPr>
                      <w:b w:val="0"/>
                      <w:color w:val="auto"/>
                      <w:szCs w:val="24"/>
                    </w:rPr>
                    <w:t>help</w:t>
                  </w:r>
                  <w:r w:rsidR="00806362">
                    <w:rPr>
                      <w:b w:val="0"/>
                      <w:color w:val="auto"/>
                      <w:szCs w:val="24"/>
                    </w:rPr>
                    <w:t xml:space="preserve">ful </w:t>
                  </w:r>
                  <w:r>
                    <w:rPr>
                      <w:b w:val="0"/>
                      <w:color w:val="auto"/>
                      <w:szCs w:val="24"/>
                    </w:rPr>
                    <w:t>in your quest to quit tobacco</w:t>
                  </w:r>
                  <w:r w:rsidR="00806362">
                    <w:rPr>
                      <w:b w:val="0"/>
                      <w:color w:val="auto"/>
                      <w:szCs w:val="24"/>
                    </w:rPr>
                    <w:t>.</w:t>
                  </w:r>
                  <w:r w:rsidR="000C438F">
                    <w:rPr>
                      <w:b w:val="0"/>
                      <w:color w:val="auto"/>
                      <w:szCs w:val="24"/>
                    </w:rPr>
                    <w:t xml:space="preserve"> </w:t>
                  </w:r>
                  <w:r w:rsidR="00806362">
                    <w:rPr>
                      <w:b w:val="0"/>
                      <w:color w:val="auto"/>
                      <w:szCs w:val="24"/>
                    </w:rPr>
                    <w:t xml:space="preserve"> The program promotes a tobacco-free environment through education</w:t>
                  </w:r>
                  <w:r>
                    <w:rPr>
                      <w:b w:val="0"/>
                      <w:color w:val="auto"/>
                      <w:szCs w:val="24"/>
                    </w:rPr>
                    <w:t>al materials</w:t>
                  </w:r>
                  <w:r w:rsidR="00806362">
                    <w:rPr>
                      <w:b w:val="0"/>
                      <w:color w:val="auto"/>
                      <w:szCs w:val="24"/>
                    </w:rPr>
                    <w:t xml:space="preserve"> and activities that support delay or cessation of tobacco use.</w:t>
                  </w:r>
                </w:p>
                <w:p w:rsidR="00806362" w:rsidRDefault="00806362" w:rsidP="006F5283">
                  <w:pPr>
                    <w:spacing w:after="0"/>
                  </w:pPr>
                  <w:r>
                    <w:t xml:space="preserve">Nicotine replacement therapies or NRTs contain less nicotine than cigarettes. </w:t>
                  </w:r>
                  <w:r w:rsidR="000C438F">
                    <w:t xml:space="preserve"> </w:t>
                  </w:r>
                  <w:r>
                    <w:t xml:space="preserve">Replacing cigarette or nicotine products with an NRT can help lessen cravings and ease withdrawal symptoms. </w:t>
                  </w:r>
                  <w:r w:rsidR="000C438F">
                    <w:t xml:space="preserve"> </w:t>
                  </w:r>
                  <w:r>
                    <w:t xml:space="preserve">NRTs are available as skin patches, chewing gum, nasal sprays, inhalers, and lozenges. </w:t>
                  </w:r>
                  <w:r w:rsidR="000C438F">
                    <w:t xml:space="preserve"> </w:t>
                  </w:r>
                  <w:r>
                    <w:t>You can buy some of them over the counter.</w:t>
                  </w:r>
                </w:p>
                <w:p w:rsidR="00806362" w:rsidRDefault="00806362" w:rsidP="006F5283">
                  <w:pPr>
                    <w:spacing w:after="0"/>
                  </w:pPr>
                  <w:r>
                    <w:br/>
                    <w:t xml:space="preserve">If you smoke more than 10 cigarettes per day, an NRT may be a good option for you. </w:t>
                  </w:r>
                  <w:r w:rsidR="000C438F">
                    <w:t xml:space="preserve"> </w:t>
                  </w:r>
                  <w:r>
                    <w:t>It is important to follow the package directions to make sure that you are using the right amount.  If you use other forms of nicotine</w:t>
                  </w:r>
                  <w:r w:rsidR="000C438F">
                    <w:t>,</w:t>
                  </w:r>
                  <w:r>
                    <w:t xml:space="preserve"> such as chewing tobacco or cigars, you should also talk to your doctor about the right form of NRT for you.</w:t>
                  </w:r>
                </w:p>
                <w:p w:rsidR="00806362" w:rsidRDefault="00806362" w:rsidP="006F5283">
                  <w:pPr>
                    <w:spacing w:after="0"/>
                  </w:pPr>
                </w:p>
                <w:p w:rsidR="00806362" w:rsidRDefault="00806362" w:rsidP="00381D29">
                  <w:r>
                    <w:t>If you are younger than 18 years old, are pregnant or breastfeeding, or have serious health conditions (for example, diabetes or heart, lung, kidney, or liver disease), you should talk to your doctor about the safety of using an NRT.</w:t>
                  </w:r>
                </w:p>
                <w:p w:rsidR="00806362" w:rsidRPr="00583345" w:rsidRDefault="00806362" w:rsidP="001F0F8A">
                  <w:pPr>
                    <w:pStyle w:val="Lead"/>
                  </w:pPr>
                  <w:r>
                    <w:t>Will there be side effects when I stop tobacco use?</w:t>
                  </w:r>
                </w:p>
                <w:p w:rsidR="00806362" w:rsidRDefault="00806362" w:rsidP="00CF7C56">
                  <w:pPr>
                    <w:spacing w:after="0"/>
                  </w:pPr>
                  <w:r w:rsidRPr="00C5315E">
                    <w:t>Withdrawal</w:t>
                  </w:r>
                  <w:r>
                    <w:t xml:space="preserve"> is your body’s reaction to not getting nicotine after it has become used to it. </w:t>
                  </w:r>
                  <w:r w:rsidR="000C438F">
                    <w:t xml:space="preserve"> </w:t>
                  </w:r>
                  <w:r>
                    <w:t>Symptoms of withdrawal vary in different people. You may feel irritable, nervous, jittery, or sleepy.</w:t>
                  </w:r>
                  <w:r w:rsidR="000C438F">
                    <w:t xml:space="preserve"> </w:t>
                  </w:r>
                  <w:r>
                    <w:t xml:space="preserve"> You may have trouble concentrating or sleeping. Some people may feel more hungry than usual.</w:t>
                  </w:r>
                  <w:r w:rsidR="000C438F">
                    <w:t xml:space="preserve"> </w:t>
                  </w:r>
                  <w:r>
                    <w:t xml:space="preserve"> These symptoms are usually worse during the first week after you quit. </w:t>
                  </w:r>
                  <w:r w:rsidR="000C438F">
                    <w:t xml:space="preserve"> </w:t>
                  </w:r>
                  <w:r>
                    <w:t>They may last two weeks to one month.</w:t>
                  </w:r>
                  <w:r>
                    <w:br/>
                  </w:r>
                </w:p>
                <w:p w:rsidR="00806362" w:rsidRDefault="00806362" w:rsidP="00CF7C56">
                  <w:pPr>
                    <w:spacing w:after="0"/>
                  </w:pPr>
                </w:p>
                <w:p w:rsidR="00806362" w:rsidRDefault="00806362" w:rsidP="00CF7C56">
                  <w:pPr>
                    <w:spacing w:after="0"/>
                  </w:pPr>
                  <w:r>
                    <w:t xml:space="preserve">Nervousness is one of the most common side effects, but you may also become nervous because you know you are tackling a difficult habit. </w:t>
                  </w:r>
                  <w:r w:rsidR="000C438F">
                    <w:t xml:space="preserve"> </w:t>
                  </w:r>
                  <w:r>
                    <w:t>The effects of caffeine, including nervousness, are more severe after you stop using nicotine.</w:t>
                  </w:r>
                  <w:r>
                    <w:br/>
                  </w:r>
                </w:p>
                <w:p w:rsidR="000C438F" w:rsidRDefault="00806362" w:rsidP="000C438F">
                  <w:pPr>
                    <w:spacing w:after="0"/>
                  </w:pPr>
                  <w:r>
                    <w:t xml:space="preserve">Some people feel down because they miss smoking or chewing tobacco. </w:t>
                  </w:r>
                  <w:r w:rsidR="000C438F">
                    <w:t xml:space="preserve"> </w:t>
                  </w:r>
                  <w:r>
                    <w:t>If you have had depression in the past, quitting tobacco may trigger it again.</w:t>
                  </w:r>
                  <w:r w:rsidR="000C438F">
                    <w:t xml:space="preserve"> </w:t>
                  </w:r>
                  <w:r>
                    <w:t xml:space="preserve"> If you feel depressed, you should talk to your doctor about your symptoms.</w:t>
                  </w:r>
                </w:p>
                <w:p w:rsidR="000C438F" w:rsidRDefault="000C438F" w:rsidP="000C438F">
                  <w:pPr>
                    <w:spacing w:after="0"/>
                  </w:pPr>
                </w:p>
                <w:p w:rsidR="00806362" w:rsidRPr="00186A7D" w:rsidRDefault="00806362" w:rsidP="00B86501">
                  <w:pPr>
                    <w:rPr>
                      <w:color w:val="000000" w:themeColor="text1"/>
                    </w:rPr>
                  </w:pPr>
                  <w:r>
                    <w:t xml:space="preserve">Many people gain a small amount of weight gain when they quit smoking (usually no more than 10 pounds). You may eat more than usual as a substitute for smoking. </w:t>
                  </w:r>
                  <w:r w:rsidR="000C438F">
                    <w:t xml:space="preserve"> </w:t>
                  </w:r>
                  <w:r>
                    <w:t xml:space="preserve">Planning out healthy meals and exercising more can help you prevent weight gain. </w:t>
                  </w:r>
                </w:p>
                <w:p w:rsidR="00806362" w:rsidRDefault="00806362"/>
              </w:txbxContent>
            </v:textbox>
          </v:shape>
        </w:pict>
      </w:r>
      <w:r>
        <w:rPr>
          <w:noProof/>
        </w:rPr>
        <w:pict>
          <v:shape id="_x0000_s1053" type="#_x0000_t202" style="position:absolute;margin-left:369pt;margin-top:131.75pt;width:180pt;height:441pt;z-index:251689984" filled="f" stroked="f">
            <v:textbox style="mso-next-textbox:#_x0000_s1053">
              <w:txbxContent/>
            </v:textbox>
          </v:shape>
        </w:pict>
      </w:r>
    </w:p>
    <w:p w:rsidR="00583345" w:rsidRPr="00583345" w:rsidRDefault="00583345" w:rsidP="00583345"/>
    <w:p w:rsidR="00583345" w:rsidRPr="00583345" w:rsidRDefault="00583345" w:rsidP="00381D29"/>
    <w:p w:rsidR="00583345" w:rsidRPr="00583345" w:rsidRDefault="005A1098" w:rsidP="00583345">
      <w:r w:rsidRPr="005A1098">
        <w:rPr>
          <w:noProof/>
          <w:color w:val="F99F23" w:themeColor="accent5"/>
        </w:rPr>
        <w:pict>
          <v:shape id="_x0000_s1049" type="#_x0000_t202" style="position:absolute;margin-left:-.4pt;margin-top:535.45pt;width:543.15pt;height:18.75pt;z-index:251686912" filled="f" stroked="f">
            <v:textbox style="mso-next-textbox:#_x0000_s1049">
              <w:txbxContent>
                <w:p w:rsidR="00806362" w:rsidRDefault="00806362"/>
              </w:txbxContent>
            </v:textbox>
          </v:shape>
        </w:pict>
      </w:r>
    </w:p>
    <w:sectPr w:rsidR="00583345" w:rsidRPr="00583345" w:rsidSect="00583345">
      <w:footerReference w:type="default" r:id="rId9"/>
      <w:pgSz w:w="12240" w:h="15840"/>
      <w:pgMar w:top="720" w:right="720" w:bottom="990" w:left="720" w:header="0"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362" w:rsidRDefault="00806362" w:rsidP="00583345">
      <w:pPr>
        <w:spacing w:after="0"/>
      </w:pPr>
      <w:r>
        <w:separator/>
      </w:r>
    </w:p>
  </w:endnote>
  <w:endnote w:type="continuationSeparator" w:id="0">
    <w:p w:rsidR="00806362" w:rsidRDefault="00806362" w:rsidP="00583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6F96"/>
      </w:tblBorders>
      <w:tblCellMar>
        <w:top w:w="72" w:type="dxa"/>
        <w:left w:w="115" w:type="dxa"/>
        <w:bottom w:w="72" w:type="dxa"/>
        <w:right w:w="115" w:type="dxa"/>
      </w:tblCellMar>
      <w:tblLook w:val="04A0"/>
    </w:tblPr>
    <w:tblGrid>
      <w:gridCol w:w="1103"/>
      <w:gridCol w:w="9927"/>
    </w:tblGrid>
    <w:tr w:rsidR="00806362" w:rsidTr="001F0F8A">
      <w:tc>
        <w:tcPr>
          <w:tcW w:w="500" w:type="pct"/>
          <w:shd w:val="clear" w:color="auto" w:fill="698F2F" w:themeFill="accent1" w:themeFillShade="BF"/>
        </w:tcPr>
        <w:p w:rsidR="00806362" w:rsidRPr="00583345" w:rsidRDefault="00806362">
          <w:pPr>
            <w:pStyle w:val="Footer"/>
            <w:jc w:val="right"/>
            <w:rPr>
              <w:b/>
              <w:color w:val="006F96"/>
            </w:rPr>
          </w:pPr>
        </w:p>
      </w:tc>
      <w:tc>
        <w:tcPr>
          <w:tcW w:w="4500" w:type="pct"/>
        </w:tcPr>
        <w:p w:rsidR="00806362" w:rsidRPr="00381D29" w:rsidRDefault="008224B1" w:rsidP="000E5DF0">
          <w:pPr>
            <w:pStyle w:val="Heading2"/>
          </w:pPr>
          <w:r>
            <w:t>April</w:t>
          </w:r>
          <w:r w:rsidR="00806362">
            <w:t xml:space="preserve"> 2014</w:t>
          </w:r>
        </w:p>
      </w:tc>
    </w:tr>
  </w:tbl>
  <w:p w:rsidR="00806362" w:rsidRDefault="00806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362" w:rsidRDefault="00806362" w:rsidP="00583345">
      <w:pPr>
        <w:spacing w:after="0"/>
      </w:pPr>
      <w:r>
        <w:separator/>
      </w:r>
    </w:p>
  </w:footnote>
  <w:footnote w:type="continuationSeparator" w:id="0">
    <w:p w:rsidR="00806362" w:rsidRDefault="00806362" w:rsidP="005833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1097BC"/>
    <w:lvl w:ilvl="0">
      <w:start w:val="1"/>
      <w:numFmt w:val="decimal"/>
      <w:lvlText w:val="%1."/>
      <w:lvlJc w:val="left"/>
      <w:pPr>
        <w:tabs>
          <w:tab w:val="num" w:pos="1800"/>
        </w:tabs>
        <w:ind w:left="1800" w:hanging="360"/>
      </w:pPr>
    </w:lvl>
  </w:abstractNum>
  <w:abstractNum w:abstractNumId="1">
    <w:nsid w:val="FFFFFF7D"/>
    <w:multiLevelType w:val="singleLevel"/>
    <w:tmpl w:val="751C4D2E"/>
    <w:lvl w:ilvl="0">
      <w:start w:val="1"/>
      <w:numFmt w:val="decimal"/>
      <w:lvlText w:val="%1."/>
      <w:lvlJc w:val="left"/>
      <w:pPr>
        <w:tabs>
          <w:tab w:val="num" w:pos="1440"/>
        </w:tabs>
        <w:ind w:left="1440" w:hanging="360"/>
      </w:pPr>
    </w:lvl>
  </w:abstractNum>
  <w:abstractNum w:abstractNumId="2">
    <w:nsid w:val="FFFFFF7E"/>
    <w:multiLevelType w:val="singleLevel"/>
    <w:tmpl w:val="FE7EB350"/>
    <w:lvl w:ilvl="0">
      <w:start w:val="1"/>
      <w:numFmt w:val="decimal"/>
      <w:lvlText w:val="%1."/>
      <w:lvlJc w:val="left"/>
      <w:pPr>
        <w:tabs>
          <w:tab w:val="num" w:pos="1080"/>
        </w:tabs>
        <w:ind w:left="1080" w:hanging="360"/>
      </w:pPr>
    </w:lvl>
  </w:abstractNum>
  <w:abstractNum w:abstractNumId="3">
    <w:nsid w:val="FFFFFF7F"/>
    <w:multiLevelType w:val="singleLevel"/>
    <w:tmpl w:val="87E87026"/>
    <w:lvl w:ilvl="0">
      <w:start w:val="1"/>
      <w:numFmt w:val="decimal"/>
      <w:lvlText w:val="%1."/>
      <w:lvlJc w:val="left"/>
      <w:pPr>
        <w:tabs>
          <w:tab w:val="num" w:pos="720"/>
        </w:tabs>
        <w:ind w:left="720" w:hanging="360"/>
      </w:pPr>
    </w:lvl>
  </w:abstractNum>
  <w:abstractNum w:abstractNumId="4">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DE0288"/>
    <w:lvl w:ilvl="0">
      <w:start w:val="1"/>
      <w:numFmt w:val="decimal"/>
      <w:lvlText w:val="%1."/>
      <w:lvlJc w:val="left"/>
      <w:pPr>
        <w:tabs>
          <w:tab w:val="num" w:pos="360"/>
        </w:tabs>
        <w:ind w:left="360" w:hanging="360"/>
      </w:pPr>
    </w:lvl>
  </w:abstractNum>
  <w:abstractNum w:abstractNumId="9">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20"/>
  </w:num>
  <w:num w:numId="15">
    <w:abstractNumId w:val="16"/>
  </w:num>
  <w:num w:numId="16">
    <w:abstractNumId w:val="10"/>
  </w:num>
  <w:num w:numId="17">
    <w:abstractNumId w:val="18"/>
  </w:num>
  <w:num w:numId="18">
    <w:abstractNumId w:val="11"/>
  </w:num>
  <w:num w:numId="19">
    <w:abstractNumId w:val="14"/>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OpenInPublishingView" w:val="0"/>
  </w:docVars>
  <w:rsids>
    <w:rsidRoot w:val="00B81ECD"/>
    <w:rsid w:val="0004118E"/>
    <w:rsid w:val="000C438F"/>
    <w:rsid w:val="000D569E"/>
    <w:rsid w:val="000E5DF0"/>
    <w:rsid w:val="00137E17"/>
    <w:rsid w:val="001462CE"/>
    <w:rsid w:val="00174FC2"/>
    <w:rsid w:val="001760DE"/>
    <w:rsid w:val="00186A7D"/>
    <w:rsid w:val="001B1CD3"/>
    <w:rsid w:val="001D2F6B"/>
    <w:rsid w:val="001F0F8A"/>
    <w:rsid w:val="002A2E50"/>
    <w:rsid w:val="002D7F90"/>
    <w:rsid w:val="00301C93"/>
    <w:rsid w:val="00365525"/>
    <w:rsid w:val="00381D29"/>
    <w:rsid w:val="003C36A2"/>
    <w:rsid w:val="004114FA"/>
    <w:rsid w:val="00492A58"/>
    <w:rsid w:val="005560AD"/>
    <w:rsid w:val="00583345"/>
    <w:rsid w:val="005A1098"/>
    <w:rsid w:val="006B7E84"/>
    <w:rsid w:val="006F5283"/>
    <w:rsid w:val="006F5E9B"/>
    <w:rsid w:val="007164B4"/>
    <w:rsid w:val="0072091E"/>
    <w:rsid w:val="00726A19"/>
    <w:rsid w:val="007845DB"/>
    <w:rsid w:val="00806362"/>
    <w:rsid w:val="008224B1"/>
    <w:rsid w:val="008254CB"/>
    <w:rsid w:val="00835C3C"/>
    <w:rsid w:val="008E2DA5"/>
    <w:rsid w:val="00913623"/>
    <w:rsid w:val="00943850"/>
    <w:rsid w:val="00967EAC"/>
    <w:rsid w:val="00A52D93"/>
    <w:rsid w:val="00A646EB"/>
    <w:rsid w:val="00A657B5"/>
    <w:rsid w:val="00B81ECD"/>
    <w:rsid w:val="00B86501"/>
    <w:rsid w:val="00C401F5"/>
    <w:rsid w:val="00C5315E"/>
    <w:rsid w:val="00C73293"/>
    <w:rsid w:val="00C76795"/>
    <w:rsid w:val="00CA3F14"/>
    <w:rsid w:val="00CC7CDE"/>
    <w:rsid w:val="00CD73A3"/>
    <w:rsid w:val="00CF7C56"/>
    <w:rsid w:val="00D77D47"/>
    <w:rsid w:val="00D968DE"/>
    <w:rsid w:val="00DB1C06"/>
    <w:rsid w:val="00DC3A96"/>
    <w:rsid w:val="00E601A5"/>
    <w:rsid w:val="00E65F0F"/>
    <w:rsid w:val="00E94A15"/>
    <w:rsid w:val="00EA3C95"/>
    <w:rsid w:val="00EC1F1F"/>
    <w:rsid w:val="00ED77F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style="mso-position-horizontal-relative:page;mso-position-vertical-relative:page" fill="f" fillcolor="none [3212]" stroke="f">
      <v:fill color="none [3212]" on="f"/>
      <v:stroke on="f"/>
      <v:textbox inset="0,0,0,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1F0F8A"/>
    <w:rPr>
      <w:b/>
      <w:color w:val="353461" w:themeColor="accent4" w:themeShade="BF"/>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1F0F8A"/>
    <w:rPr>
      <w:rFonts w:ascii="Calibri" w:hAnsi="Calibri"/>
      <w:b/>
      <w:color w:val="353461" w:themeColor="accent4" w:themeShade="BF"/>
      <w:sz w:val="22"/>
      <w:szCs w:val="22"/>
    </w:rPr>
  </w:style>
  <w:style w:type="character" w:customStyle="1" w:styleId="ReferenceChar">
    <w:name w:val="Reference Char"/>
    <w:basedOn w:val="DefaultParagraphFont"/>
    <w:link w:val="Reference"/>
    <w:rsid w:val="00A52D93"/>
    <w:rPr>
      <w:rFonts w:ascii="Calibri" w:hAnsi="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XRUYQT3274NZ-681238054-1090</_dlc_DocId>
    <_dlc_DocIdUrl xmlns="b22f8f74-215c-4154-9939-bd29e4e8980e">
      <Url>https://supportservices.jobcorps.gov/health/_layouts/15/DocIdRedir.aspx?ID=XRUYQT3274NZ-681238054-1090</Url>
      <Description>XRUYQT3274NZ-681238054-1090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4C1821-0931-42A9-92E5-9F6BDB716BB5}"/>
</file>

<file path=customXml/itemProps2.xml><?xml version="1.0" encoding="utf-8"?>
<ds:datastoreItem xmlns:ds="http://schemas.openxmlformats.org/officeDocument/2006/customXml" ds:itemID="{888DF892-E29D-4EA7-A9EA-E74536D82465}"/>
</file>

<file path=customXml/itemProps3.xml><?xml version="1.0" encoding="utf-8"?>
<ds:datastoreItem xmlns:ds="http://schemas.openxmlformats.org/officeDocument/2006/customXml" ds:itemID="{345EA3DD-E21D-4B89-A50B-582ED7888144}"/>
</file>

<file path=customXml/itemProps4.xml><?xml version="1.0" encoding="utf-8"?>
<ds:datastoreItem xmlns:ds="http://schemas.openxmlformats.org/officeDocument/2006/customXml" ds:itemID="{F1E1202D-DBFA-4905-B0EA-A34EC20E846A}"/>
</file>

<file path=docProps/app.xml><?xml version="1.0" encoding="utf-8"?>
<Properties xmlns="http://schemas.openxmlformats.org/officeDocument/2006/extended-properties" xmlns:vt="http://schemas.openxmlformats.org/officeDocument/2006/docPropsVTypes">
  <Template>Normal</Template>
  <TotalTime>31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Myers</dc:creator>
  <cp:keywords/>
  <dc:description/>
  <cp:lastModifiedBy>cvaldenegro</cp:lastModifiedBy>
  <cp:revision>18</cp:revision>
  <cp:lastPrinted>2011-07-26T10:58:00Z</cp:lastPrinted>
  <dcterms:created xsi:type="dcterms:W3CDTF">2013-10-31T14:47:00Z</dcterms:created>
  <dcterms:modified xsi:type="dcterms:W3CDTF">2014-04-10T21:21:00Z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715709a2-a28d-4a48-88e9-2d89d38d0335</vt:lpwstr>
  </property>
</Properties>
</file>