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7BA0" w14:textId="1B115A61" w:rsidR="00B212AD" w:rsidRDefault="1D891525" w:rsidP="1D891525">
      <w:pPr>
        <w:shd w:val="clear" w:color="auto" w:fill="BFBFBF" w:themeFill="background1" w:themeFillShade="BF"/>
        <w:spacing w:after="120"/>
        <w:jc w:val="center"/>
        <w:rPr>
          <w:b/>
          <w:bCs/>
          <w:sz w:val="28"/>
          <w:szCs w:val="28"/>
        </w:rPr>
      </w:pPr>
      <w:r w:rsidRPr="1D891525">
        <w:rPr>
          <w:b/>
          <w:bCs/>
          <w:sz w:val="28"/>
          <w:szCs w:val="28"/>
        </w:rPr>
        <w:t xml:space="preserve">Temporarily without a </w:t>
      </w:r>
      <w:r w:rsidR="00A70D9F">
        <w:rPr>
          <w:b/>
          <w:bCs/>
          <w:sz w:val="28"/>
          <w:szCs w:val="28"/>
        </w:rPr>
        <w:t>Trainee Employee Assistance Program (TEAP)</w:t>
      </w:r>
      <w:r w:rsidRPr="1D891525">
        <w:rPr>
          <w:b/>
          <w:bCs/>
          <w:sz w:val="28"/>
          <w:szCs w:val="28"/>
        </w:rPr>
        <w:t xml:space="preserve"> </w:t>
      </w:r>
      <w:r w:rsidR="00A70D9F">
        <w:rPr>
          <w:b/>
          <w:bCs/>
          <w:sz w:val="28"/>
          <w:szCs w:val="28"/>
        </w:rPr>
        <w:t>Specialist</w:t>
      </w:r>
    </w:p>
    <w:p w14:paraId="29050CCE" w14:textId="33EF2B2F" w:rsidR="00731F6B" w:rsidRDefault="76194175" w:rsidP="00FE7A13">
      <w:pPr>
        <w:spacing w:before="100" w:beforeAutospacing="1" w:after="120"/>
        <w:rPr>
          <w:b/>
          <w:bCs/>
          <w:sz w:val="20"/>
          <w:szCs w:val="20"/>
        </w:rPr>
      </w:pPr>
      <w:r w:rsidRPr="0019087C">
        <w:rPr>
          <w:sz w:val="20"/>
          <w:szCs w:val="20"/>
        </w:rPr>
        <w:t xml:space="preserve">In the absence of a </w:t>
      </w:r>
      <w:r w:rsidR="00A70D9F" w:rsidRPr="0019087C">
        <w:rPr>
          <w:sz w:val="20"/>
          <w:szCs w:val="20"/>
        </w:rPr>
        <w:t>TEAP specialist</w:t>
      </w:r>
      <w:r w:rsidRPr="0019087C">
        <w:rPr>
          <w:sz w:val="20"/>
          <w:szCs w:val="20"/>
        </w:rPr>
        <w:t>, it is important to make sure other health and wellness staff review and understand the requirements of the</w:t>
      </w:r>
      <w:r w:rsidR="00A70D9F" w:rsidRPr="0019087C">
        <w:rPr>
          <w:sz w:val="20"/>
          <w:szCs w:val="20"/>
        </w:rPr>
        <w:t xml:space="preserve"> Trainee Employee Assistance Program (TEAP</w:t>
      </w:r>
      <w:r w:rsidRPr="0019087C">
        <w:rPr>
          <w:sz w:val="20"/>
          <w:szCs w:val="20"/>
        </w:rPr>
        <w:t>) described in</w:t>
      </w:r>
      <w:r w:rsidR="00A70D9F" w:rsidRPr="0019087C">
        <w:rPr>
          <w:sz w:val="20"/>
          <w:szCs w:val="20"/>
        </w:rPr>
        <w:t xml:space="preserve"> </w:t>
      </w:r>
      <w:hyperlink r:id="rId11">
        <w:r w:rsidR="00A70D9F" w:rsidRPr="73F7E1AA">
          <w:rPr>
            <w:rStyle w:val="Hyperlink"/>
            <w:sz w:val="20"/>
            <w:szCs w:val="20"/>
          </w:rPr>
          <w:t>PRH Chapter 2.3 R5</w:t>
        </w:r>
      </w:hyperlink>
      <w:r w:rsidR="00A70D9F" w:rsidRPr="73F7E1AA">
        <w:rPr>
          <w:sz w:val="20"/>
          <w:szCs w:val="20"/>
        </w:rPr>
        <w:t>.</w:t>
      </w:r>
      <w:bookmarkStart w:id="0" w:name="_Hlk143600228"/>
      <w:r w:rsidR="00A70D9F" w:rsidRPr="0019087C">
        <w:rPr>
          <w:sz w:val="20"/>
          <w:szCs w:val="20"/>
        </w:rPr>
        <w:t xml:space="preserve"> </w:t>
      </w:r>
      <w:r w:rsidRPr="0019087C">
        <w:rPr>
          <w:sz w:val="20"/>
          <w:szCs w:val="20"/>
        </w:rPr>
        <w:t xml:space="preserve">The table below provides suggestions that are designed to assist a center in </w:t>
      </w:r>
      <w:r w:rsidRPr="0019087C">
        <w:rPr>
          <w:sz w:val="20"/>
          <w:szCs w:val="20"/>
          <w:u w:val="single"/>
        </w:rPr>
        <w:t>temporarily</w:t>
      </w:r>
      <w:r w:rsidRPr="0019087C">
        <w:rPr>
          <w:sz w:val="20"/>
          <w:szCs w:val="20"/>
        </w:rPr>
        <w:t xml:space="preserve"> providing coverage for a vacant</w:t>
      </w:r>
      <w:r w:rsidR="008B1827" w:rsidRPr="0019087C">
        <w:rPr>
          <w:sz w:val="20"/>
          <w:szCs w:val="20"/>
        </w:rPr>
        <w:t xml:space="preserve"> TEAP</w:t>
      </w:r>
      <w:r w:rsidRPr="0019087C">
        <w:rPr>
          <w:sz w:val="20"/>
          <w:szCs w:val="20"/>
        </w:rPr>
        <w:t xml:space="preserve"> </w:t>
      </w:r>
      <w:r w:rsidR="7857661E" w:rsidRPr="73F7E1AA">
        <w:rPr>
          <w:sz w:val="20"/>
          <w:szCs w:val="20"/>
        </w:rPr>
        <w:t xml:space="preserve">specialist </w:t>
      </w:r>
      <w:r w:rsidRPr="0019087C">
        <w:rPr>
          <w:sz w:val="20"/>
          <w:szCs w:val="20"/>
        </w:rPr>
        <w:t xml:space="preserve">position; the suggestions are not mandates. </w:t>
      </w:r>
      <w:r w:rsidRPr="0019087C">
        <w:rPr>
          <w:b/>
          <w:bCs/>
          <w:sz w:val="20"/>
          <w:szCs w:val="20"/>
        </w:rPr>
        <w:t xml:space="preserve">Centers must actively recruit to fill vacant positions, and staff should only be asked to cover </w:t>
      </w:r>
      <w:r w:rsidR="008B1827" w:rsidRPr="0019087C">
        <w:rPr>
          <w:b/>
          <w:bCs/>
          <w:sz w:val="20"/>
          <w:szCs w:val="20"/>
        </w:rPr>
        <w:t xml:space="preserve">TEAP </w:t>
      </w:r>
      <w:r w:rsidRPr="0019087C">
        <w:rPr>
          <w:b/>
          <w:bCs/>
          <w:sz w:val="20"/>
          <w:szCs w:val="20"/>
        </w:rPr>
        <w:t xml:space="preserve">responsibilities that are within their scope of practice on a very short-term basis. Any assistance they provide must not detract from their primary position.  Centers are encouraged to explore partnerships with community and virtual </w:t>
      </w:r>
      <w:r w:rsidR="00D86727" w:rsidRPr="0019087C">
        <w:rPr>
          <w:b/>
          <w:bCs/>
          <w:sz w:val="20"/>
          <w:szCs w:val="20"/>
        </w:rPr>
        <w:t xml:space="preserve">substance use </w:t>
      </w:r>
      <w:r w:rsidRPr="0019087C">
        <w:rPr>
          <w:b/>
          <w:bCs/>
          <w:sz w:val="20"/>
          <w:szCs w:val="20"/>
        </w:rPr>
        <w:t xml:space="preserve">services to ensure that the </w:t>
      </w:r>
      <w:r w:rsidR="00D86727" w:rsidRPr="0019087C">
        <w:rPr>
          <w:b/>
          <w:bCs/>
          <w:sz w:val="20"/>
          <w:szCs w:val="20"/>
        </w:rPr>
        <w:t xml:space="preserve">substance use </w:t>
      </w:r>
      <w:r w:rsidRPr="0019087C">
        <w:rPr>
          <w:b/>
          <w:bCs/>
          <w:sz w:val="20"/>
          <w:szCs w:val="20"/>
        </w:rPr>
        <w:t xml:space="preserve">needs of students are met. </w:t>
      </w:r>
    </w:p>
    <w:p w14:paraId="5121C8F1" w14:textId="77777777" w:rsidR="0070635D" w:rsidRPr="0070635D" w:rsidRDefault="0070635D" w:rsidP="0070635D">
      <w:pPr>
        <w:spacing w:after="0"/>
        <w:rPr>
          <w:sz w:val="16"/>
          <w:szCs w:val="16"/>
        </w:rPr>
      </w:pPr>
    </w:p>
    <w:tbl>
      <w:tblPr>
        <w:tblStyle w:val="TableGrid"/>
        <w:tblW w:w="12955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062"/>
        <w:gridCol w:w="8983"/>
        <w:gridCol w:w="1910"/>
      </w:tblGrid>
      <w:tr w:rsidR="00A06663" w:rsidRPr="004509FF" w14:paraId="28C0F2BE" w14:textId="091D7AFC" w:rsidTr="54A27FBE">
        <w:trPr>
          <w:tblHeader/>
        </w:trPr>
        <w:tc>
          <w:tcPr>
            <w:tcW w:w="2062" w:type="dxa"/>
            <w:shd w:val="clear" w:color="auto" w:fill="000000" w:themeFill="text1"/>
            <w:vAlign w:val="center"/>
          </w:tcPr>
          <w:p w14:paraId="7867F9DC" w14:textId="443249E4" w:rsidR="00A06663" w:rsidRPr="004509FF" w:rsidRDefault="7F68FC11" w:rsidP="00A12D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4509FF">
              <w:rPr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8983" w:type="dxa"/>
            <w:shd w:val="clear" w:color="auto" w:fill="000000" w:themeFill="text1"/>
            <w:vAlign w:val="center"/>
          </w:tcPr>
          <w:p w14:paraId="603D3FAE" w14:textId="4B140EC7" w:rsidR="00A06663" w:rsidRPr="004509FF" w:rsidRDefault="7F68FC11" w:rsidP="00A12D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4509FF">
              <w:rPr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910" w:type="dxa"/>
            <w:shd w:val="clear" w:color="auto" w:fill="000000" w:themeFill="text1"/>
            <w:vAlign w:val="center"/>
          </w:tcPr>
          <w:p w14:paraId="71A5D8D2" w14:textId="0CF2B692" w:rsidR="00A06663" w:rsidRPr="004509FF" w:rsidRDefault="7F68FC11" w:rsidP="00A12D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4509FF">
              <w:rPr>
                <w:b/>
                <w:bCs/>
                <w:sz w:val="20"/>
                <w:szCs w:val="20"/>
              </w:rPr>
              <w:t>Suggested staff</w:t>
            </w:r>
          </w:p>
        </w:tc>
      </w:tr>
      <w:tr w:rsidR="00A06663" w:rsidRPr="004509FF" w14:paraId="63797D8E" w14:textId="77777777" w:rsidTr="54A27FBE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28B85CF0" w14:textId="2F72A334" w:rsidR="00A06663" w:rsidRPr="004509FF" w:rsidRDefault="1D891525" w:rsidP="00740926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4509FF">
              <w:rPr>
                <w:b/>
                <w:bCs/>
                <w:i/>
                <w:iCs/>
                <w:sz w:val="20"/>
                <w:szCs w:val="20"/>
              </w:rPr>
              <w:t xml:space="preserve">Frequency: </w:t>
            </w:r>
            <w:r w:rsidR="00113456" w:rsidRPr="004509FF">
              <w:rPr>
                <w:b/>
                <w:bCs/>
                <w:i/>
                <w:iCs/>
                <w:sz w:val="20"/>
                <w:szCs w:val="20"/>
              </w:rPr>
              <w:t>New Inputs</w:t>
            </w:r>
          </w:p>
        </w:tc>
      </w:tr>
      <w:tr w:rsidR="00A06663" w:rsidRPr="004509FF" w14:paraId="0E415678" w14:textId="77777777" w:rsidTr="54A27FBE">
        <w:tc>
          <w:tcPr>
            <w:tcW w:w="2062" w:type="dxa"/>
          </w:tcPr>
          <w:p w14:paraId="119619D3" w14:textId="6CE218FF" w:rsidR="00A06663" w:rsidRPr="004509FF" w:rsidRDefault="00A06663" w:rsidP="00BE52A5">
            <w:pPr>
              <w:spacing w:afterLines="40" w:after="96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Review and sign the Social Intake Form (SIF) within 1 week of arrival</w:t>
            </w:r>
          </w:p>
        </w:tc>
        <w:tc>
          <w:tcPr>
            <w:tcW w:w="8983" w:type="dxa"/>
          </w:tcPr>
          <w:p w14:paraId="6E76C88A" w14:textId="06E8C571" w:rsidR="00A06663" w:rsidRPr="004509FF" w:rsidRDefault="7F68FC11" w:rsidP="00BE52A5">
            <w:pPr>
              <w:pStyle w:val="ListParagraph"/>
              <w:numPr>
                <w:ilvl w:val="0"/>
                <w:numId w:val="25"/>
              </w:numPr>
              <w:spacing w:after="40"/>
              <w:ind w:left="360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 xml:space="preserve">Indicate on the </w:t>
            </w:r>
            <w:r w:rsidR="000F7A73" w:rsidRPr="004509FF">
              <w:rPr>
                <w:sz w:val="20"/>
                <w:szCs w:val="20"/>
              </w:rPr>
              <w:t>TEAP</w:t>
            </w:r>
            <w:r w:rsidRPr="004509FF">
              <w:rPr>
                <w:sz w:val="20"/>
                <w:szCs w:val="20"/>
              </w:rPr>
              <w:t xml:space="preserve"> signature line that the position is vacant and that the form is being reviewed by alternate licensed staff</w:t>
            </w:r>
            <w:r w:rsidR="4979A0CA" w:rsidRPr="004509FF">
              <w:rPr>
                <w:sz w:val="20"/>
                <w:szCs w:val="20"/>
              </w:rPr>
              <w:t>.</w:t>
            </w:r>
            <w:r w:rsidRPr="004509FF">
              <w:rPr>
                <w:sz w:val="20"/>
                <w:szCs w:val="20"/>
              </w:rPr>
              <w:t xml:space="preserve"> </w:t>
            </w:r>
          </w:p>
          <w:p w14:paraId="75A06AE9" w14:textId="7E60CA46" w:rsidR="00074D58" w:rsidRPr="004509FF" w:rsidRDefault="7F68FC11" w:rsidP="00BE52A5">
            <w:pPr>
              <w:pStyle w:val="ListParagraph"/>
              <w:numPr>
                <w:ilvl w:val="0"/>
                <w:numId w:val="25"/>
              </w:numPr>
              <w:spacing w:after="40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4509FF">
              <w:rPr>
                <w:rFonts w:ascii="Calibri" w:eastAsia="Calibri" w:hAnsi="Calibri" w:cs="Calibri"/>
                <w:sz w:val="20"/>
                <w:szCs w:val="20"/>
              </w:rPr>
              <w:t xml:space="preserve">Ensure students referred for </w:t>
            </w:r>
            <w:r w:rsidR="000F7A73" w:rsidRPr="004509FF">
              <w:rPr>
                <w:rFonts w:ascii="Calibri" w:eastAsia="Calibri" w:hAnsi="Calibri" w:cs="Calibri"/>
                <w:sz w:val="20"/>
                <w:szCs w:val="20"/>
              </w:rPr>
              <w:t>TEAP</w:t>
            </w:r>
            <w:r w:rsidRPr="004509FF">
              <w:rPr>
                <w:rFonts w:ascii="Calibri" w:eastAsia="Calibri" w:hAnsi="Calibri" w:cs="Calibri"/>
                <w:sz w:val="20"/>
                <w:szCs w:val="20"/>
              </w:rPr>
              <w:t xml:space="preserve"> services through the SIF are seen for assessment and provided with follow</w:t>
            </w:r>
            <w:r w:rsidR="13DB7C13" w:rsidRPr="004509FF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4509FF">
              <w:rPr>
                <w:rFonts w:ascii="Calibri" w:eastAsia="Calibri" w:hAnsi="Calibri" w:cs="Calibri"/>
                <w:sz w:val="20"/>
                <w:szCs w:val="20"/>
              </w:rPr>
              <w:t xml:space="preserve">up support, and document in the student health record (SHR). </w:t>
            </w:r>
          </w:p>
          <w:p w14:paraId="5660DABE" w14:textId="29402707" w:rsidR="00A06663" w:rsidRPr="004509FF" w:rsidRDefault="00074D58" w:rsidP="00BE52A5">
            <w:pPr>
              <w:pStyle w:val="ListParagraph"/>
              <w:numPr>
                <w:ilvl w:val="0"/>
                <w:numId w:val="25"/>
              </w:numPr>
              <w:spacing w:after="40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4509FF">
              <w:rPr>
                <w:rFonts w:ascii="Calibri" w:eastAsia="Calibri" w:hAnsi="Calibri" w:cs="Calibri"/>
                <w:sz w:val="20"/>
                <w:szCs w:val="20"/>
              </w:rPr>
              <w:t>There is a high co-morbidity between substance use and mental health issues</w:t>
            </w:r>
            <w:r w:rsidR="6D2E458D" w:rsidRPr="004509F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4509FF">
              <w:rPr>
                <w:rFonts w:ascii="Calibri" w:eastAsia="Calibri" w:hAnsi="Calibri" w:cs="Calibri"/>
                <w:sz w:val="20"/>
                <w:szCs w:val="20"/>
              </w:rPr>
              <w:t xml:space="preserve"> so a large portion of high-risk students may have both issues. Ask the </w:t>
            </w:r>
            <w:r w:rsidR="662080D2" w:rsidRPr="004509FF">
              <w:rPr>
                <w:rFonts w:ascii="Calibri" w:eastAsia="Calibri" w:hAnsi="Calibri" w:cs="Calibri"/>
                <w:sz w:val="20"/>
                <w:szCs w:val="20"/>
              </w:rPr>
              <w:t>center mental health consultant (</w:t>
            </w:r>
            <w:r w:rsidRPr="004509FF">
              <w:rPr>
                <w:rFonts w:ascii="Calibri" w:eastAsia="Calibri" w:hAnsi="Calibri" w:cs="Calibri"/>
                <w:sz w:val="20"/>
                <w:szCs w:val="20"/>
              </w:rPr>
              <w:t>CMHC</w:t>
            </w:r>
            <w:r w:rsidR="2AA7CA46" w:rsidRPr="004509FF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4509FF">
              <w:rPr>
                <w:rFonts w:ascii="Calibri" w:eastAsia="Calibri" w:hAnsi="Calibri" w:cs="Calibri"/>
                <w:sz w:val="20"/>
                <w:szCs w:val="20"/>
              </w:rPr>
              <w:t xml:space="preserve"> or intern if they are willing to follow</w:t>
            </w:r>
            <w:r w:rsidR="45BDE938" w:rsidRPr="004509F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509FF">
              <w:rPr>
                <w:rFonts w:ascii="Calibri" w:eastAsia="Calibri" w:hAnsi="Calibri" w:cs="Calibri"/>
                <w:sz w:val="20"/>
                <w:szCs w:val="20"/>
              </w:rPr>
              <w:t>up with students who score 2 or more on the CRAF</w:t>
            </w:r>
            <w:r w:rsidR="30E86EF3" w:rsidRPr="004509FF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4509FF">
              <w:rPr>
                <w:rFonts w:ascii="Calibri" w:eastAsia="Calibri" w:hAnsi="Calibri" w:cs="Calibri"/>
                <w:sz w:val="20"/>
                <w:szCs w:val="20"/>
              </w:rPr>
              <w:t>T (questions 4-9 only).</w:t>
            </w:r>
          </w:p>
        </w:tc>
        <w:tc>
          <w:tcPr>
            <w:tcW w:w="1910" w:type="dxa"/>
          </w:tcPr>
          <w:p w14:paraId="5CB495F2" w14:textId="5EFD7AA6" w:rsidR="00A06663" w:rsidRPr="004509FF" w:rsidRDefault="76194175" w:rsidP="00BE52A5">
            <w:pPr>
              <w:spacing w:afterLines="40" w:after="96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H&amp;W staff</w:t>
            </w:r>
          </w:p>
        </w:tc>
      </w:tr>
      <w:tr w:rsidR="00B1788C" w:rsidRPr="004509FF" w14:paraId="675BCB0F" w14:textId="77777777" w:rsidTr="54A27FBE">
        <w:tc>
          <w:tcPr>
            <w:tcW w:w="2062" w:type="dxa"/>
          </w:tcPr>
          <w:p w14:paraId="2C864091" w14:textId="77B98F00" w:rsidR="00B1788C" w:rsidRPr="004509FF" w:rsidRDefault="00B1788C" w:rsidP="00BE52A5">
            <w:pPr>
              <w:spacing w:afterLines="40" w:after="96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Assessment Using Formalized Assessment Measures (FAMs)</w:t>
            </w:r>
          </w:p>
        </w:tc>
        <w:tc>
          <w:tcPr>
            <w:tcW w:w="8983" w:type="dxa"/>
          </w:tcPr>
          <w:p w14:paraId="53805303" w14:textId="03A20BB5" w:rsidR="00B1788C" w:rsidRPr="004509FF" w:rsidRDefault="00B1788C" w:rsidP="00BE52A5">
            <w:pPr>
              <w:pStyle w:val="ListParagraph"/>
              <w:numPr>
                <w:ilvl w:val="0"/>
                <w:numId w:val="25"/>
              </w:numPr>
              <w:spacing w:after="40"/>
              <w:ind w:left="360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 xml:space="preserve">Determine if others in </w:t>
            </w:r>
            <w:r w:rsidR="304915A7" w:rsidRPr="004509FF">
              <w:rPr>
                <w:sz w:val="20"/>
                <w:szCs w:val="20"/>
              </w:rPr>
              <w:t xml:space="preserve">the </w:t>
            </w:r>
            <w:r w:rsidR="00BB309A" w:rsidRPr="004509FF">
              <w:rPr>
                <w:sz w:val="20"/>
                <w:szCs w:val="20"/>
              </w:rPr>
              <w:t>health and wellness center (</w:t>
            </w:r>
            <w:r w:rsidRPr="004509FF">
              <w:rPr>
                <w:sz w:val="20"/>
                <w:szCs w:val="20"/>
              </w:rPr>
              <w:t>HWC</w:t>
            </w:r>
            <w:r w:rsidR="00BB309A" w:rsidRPr="004509FF">
              <w:rPr>
                <w:sz w:val="20"/>
                <w:szCs w:val="20"/>
              </w:rPr>
              <w:t>)</w:t>
            </w:r>
            <w:r w:rsidRPr="004509FF">
              <w:rPr>
                <w:sz w:val="20"/>
                <w:szCs w:val="20"/>
              </w:rPr>
              <w:t xml:space="preserve"> are trained in administering FAMs, such as the CMHCs, interns</w:t>
            </w:r>
            <w:r w:rsidR="4BD80E7A" w:rsidRPr="004509FF">
              <w:rPr>
                <w:sz w:val="20"/>
                <w:szCs w:val="20"/>
              </w:rPr>
              <w:t>,</w:t>
            </w:r>
            <w:r w:rsidRPr="004509FF">
              <w:rPr>
                <w:sz w:val="20"/>
                <w:szCs w:val="20"/>
              </w:rPr>
              <w:t xml:space="preserve"> or </w:t>
            </w:r>
            <w:r w:rsidR="0D66567E" w:rsidRPr="004509FF">
              <w:rPr>
                <w:sz w:val="20"/>
                <w:szCs w:val="20"/>
              </w:rPr>
              <w:t>Center Physician/Nurse Practitioner/Physician Assistant</w:t>
            </w:r>
            <w:r w:rsidR="1FF4F584" w:rsidRPr="004509FF">
              <w:rPr>
                <w:sz w:val="20"/>
                <w:szCs w:val="20"/>
              </w:rPr>
              <w:t>.</w:t>
            </w:r>
          </w:p>
          <w:p w14:paraId="56E292CF" w14:textId="63EC4F49" w:rsidR="00B1788C" w:rsidRPr="004509FF" w:rsidRDefault="00B1788C" w:rsidP="00BE52A5">
            <w:pPr>
              <w:pStyle w:val="ListParagraph"/>
              <w:numPr>
                <w:ilvl w:val="0"/>
                <w:numId w:val="25"/>
              </w:numPr>
              <w:spacing w:after="40"/>
              <w:ind w:left="360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If staff are trained and it is within their scope of practice, administer FAMs (such as CUDIT-R, MAST, DAST</w:t>
            </w:r>
            <w:r w:rsidR="267723D3" w:rsidRPr="004509FF">
              <w:rPr>
                <w:sz w:val="20"/>
                <w:szCs w:val="20"/>
              </w:rPr>
              <w:t>,</w:t>
            </w:r>
            <w:r w:rsidRPr="004509FF">
              <w:rPr>
                <w:sz w:val="20"/>
                <w:szCs w:val="20"/>
              </w:rPr>
              <w:t xml:space="preserve"> or AUDIT which are all in the public domain and can be located online) to students who score 2 or more on the CRAFFT (Questions 4-9). Ensure that the protocols are </w:t>
            </w:r>
            <w:r w:rsidR="6BEFE7E4" w:rsidRPr="004509FF">
              <w:rPr>
                <w:sz w:val="20"/>
                <w:szCs w:val="20"/>
              </w:rPr>
              <w:t>scored,</w:t>
            </w:r>
            <w:r w:rsidRPr="004509FF">
              <w:rPr>
                <w:sz w:val="20"/>
                <w:szCs w:val="20"/>
              </w:rPr>
              <w:t xml:space="preserve"> and the results documented in the SHR along with the student response and the plan.</w:t>
            </w:r>
          </w:p>
          <w:p w14:paraId="02EB73BF" w14:textId="3A8A6736" w:rsidR="002A18CB" w:rsidRPr="004509FF" w:rsidRDefault="00B1788C" w:rsidP="00BE52A5">
            <w:pPr>
              <w:pStyle w:val="ListParagraph"/>
              <w:numPr>
                <w:ilvl w:val="0"/>
                <w:numId w:val="25"/>
              </w:numPr>
              <w:spacing w:after="40"/>
              <w:ind w:left="360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Consider using an outside agency to conduct assessments</w:t>
            </w:r>
            <w:r w:rsidR="0475E074" w:rsidRPr="004509FF">
              <w:rPr>
                <w:sz w:val="20"/>
                <w:szCs w:val="20"/>
              </w:rPr>
              <w:t>.</w:t>
            </w:r>
          </w:p>
          <w:p w14:paraId="3567D424" w14:textId="6565F9F1" w:rsidR="002A18CB" w:rsidRPr="004509FF" w:rsidRDefault="0475E074" w:rsidP="00BE52A5">
            <w:pPr>
              <w:pStyle w:val="ListParagraph"/>
              <w:numPr>
                <w:ilvl w:val="0"/>
                <w:numId w:val="25"/>
              </w:numPr>
              <w:spacing w:after="40"/>
              <w:ind w:left="360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R</w:t>
            </w:r>
            <w:r w:rsidR="002A18CB" w:rsidRPr="004509FF">
              <w:rPr>
                <w:sz w:val="20"/>
                <w:szCs w:val="20"/>
              </w:rPr>
              <w:t xml:space="preserve">efer </w:t>
            </w:r>
            <w:r w:rsidR="275CA1B4" w:rsidRPr="004509FF">
              <w:rPr>
                <w:sz w:val="20"/>
                <w:szCs w:val="20"/>
              </w:rPr>
              <w:t>students who score in the high-risk range</w:t>
            </w:r>
            <w:r w:rsidR="002A18CB" w:rsidRPr="004509FF">
              <w:rPr>
                <w:sz w:val="20"/>
                <w:szCs w:val="20"/>
              </w:rPr>
              <w:t xml:space="preserve"> to outside substance use agency </w:t>
            </w:r>
            <w:r w:rsidR="3F6FE18C" w:rsidRPr="004509FF">
              <w:rPr>
                <w:sz w:val="20"/>
                <w:szCs w:val="20"/>
              </w:rPr>
              <w:t>as needed.</w:t>
            </w:r>
            <w:r w:rsidR="002A18CB" w:rsidRPr="004509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</w:tcPr>
          <w:p w14:paraId="6B423E45" w14:textId="2605E70F" w:rsidR="00B1788C" w:rsidRPr="004509FF" w:rsidRDefault="00B1788C" w:rsidP="00BE52A5">
            <w:pPr>
              <w:spacing w:afterLines="40" w:after="96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H&amp;W staff</w:t>
            </w:r>
          </w:p>
        </w:tc>
      </w:tr>
      <w:tr w:rsidR="00A06663" w:rsidRPr="004509FF" w14:paraId="6A5729A6" w14:textId="77777777" w:rsidTr="54A27FBE">
        <w:tc>
          <w:tcPr>
            <w:tcW w:w="2062" w:type="dxa"/>
          </w:tcPr>
          <w:p w14:paraId="7FC77136" w14:textId="77E71A09" w:rsidR="00A06663" w:rsidRPr="004509FF" w:rsidRDefault="00A06663" w:rsidP="00BE52A5">
            <w:pPr>
              <w:spacing w:afterLines="40" w:after="96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Applicant File Reviews (AFRs)</w:t>
            </w:r>
          </w:p>
        </w:tc>
        <w:tc>
          <w:tcPr>
            <w:tcW w:w="8983" w:type="dxa"/>
          </w:tcPr>
          <w:p w14:paraId="5FB5C6D9" w14:textId="043C96B6" w:rsidR="00A06663" w:rsidRPr="004509FF" w:rsidRDefault="00A06663" w:rsidP="00BE52A5">
            <w:pPr>
              <w:pStyle w:val="ListParagraph"/>
              <w:numPr>
                <w:ilvl w:val="0"/>
                <w:numId w:val="19"/>
              </w:numPr>
              <w:spacing w:after="40"/>
              <w:ind w:left="360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Contract with the</w:t>
            </w:r>
            <w:r w:rsidR="005373D8" w:rsidRPr="004509FF">
              <w:rPr>
                <w:sz w:val="20"/>
                <w:szCs w:val="20"/>
              </w:rPr>
              <w:t xml:space="preserve"> former </w:t>
            </w:r>
            <w:r w:rsidR="000F7A73" w:rsidRPr="004509FF">
              <w:rPr>
                <w:sz w:val="20"/>
                <w:szCs w:val="20"/>
              </w:rPr>
              <w:t>TEAP specialist</w:t>
            </w:r>
            <w:r w:rsidRPr="004509FF">
              <w:rPr>
                <w:sz w:val="20"/>
                <w:szCs w:val="20"/>
              </w:rPr>
              <w:t xml:space="preserve"> to continue </w:t>
            </w:r>
            <w:bookmarkStart w:id="1" w:name="_Hlk132193352"/>
            <w:r w:rsidRPr="004509FF">
              <w:rPr>
                <w:sz w:val="20"/>
                <w:szCs w:val="20"/>
              </w:rPr>
              <w:t>to conduct AFRs</w:t>
            </w:r>
            <w:r w:rsidR="07608128" w:rsidRPr="004509FF">
              <w:rPr>
                <w:sz w:val="20"/>
                <w:szCs w:val="20"/>
              </w:rPr>
              <w:t>.</w:t>
            </w:r>
          </w:p>
          <w:p w14:paraId="4B39C01C" w14:textId="35CE5026" w:rsidR="00A06663" w:rsidRPr="004509FF" w:rsidRDefault="76194175" w:rsidP="00BE52A5">
            <w:pPr>
              <w:pStyle w:val="ListParagraph"/>
              <w:numPr>
                <w:ilvl w:val="0"/>
                <w:numId w:val="19"/>
              </w:numPr>
              <w:spacing w:after="40"/>
              <w:ind w:left="360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 xml:space="preserve">Contact your center’s contractor and identify a </w:t>
            </w:r>
            <w:r w:rsidR="000F7A73" w:rsidRPr="004509FF">
              <w:rPr>
                <w:sz w:val="20"/>
                <w:szCs w:val="20"/>
              </w:rPr>
              <w:t>TEAP specialist</w:t>
            </w:r>
            <w:r w:rsidRPr="004509FF">
              <w:rPr>
                <w:sz w:val="20"/>
                <w:szCs w:val="20"/>
              </w:rPr>
              <w:t xml:space="preserve"> from another center run by your contractor to conduct AFRs.</w:t>
            </w:r>
          </w:p>
          <w:p w14:paraId="6D0FAA63" w14:textId="1E6EA9C2" w:rsidR="00A06663" w:rsidRPr="004509FF" w:rsidRDefault="7F68FC11" w:rsidP="00BE52A5">
            <w:pPr>
              <w:pStyle w:val="ListParagraph"/>
              <w:numPr>
                <w:ilvl w:val="0"/>
                <w:numId w:val="19"/>
              </w:numPr>
              <w:spacing w:after="40"/>
              <w:ind w:left="360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Utilize the Center Physician/Nurse Practitioner/Physician Assistant in collaboration with the Health and Wellness Director (HWD)</w:t>
            </w:r>
          </w:p>
          <w:p w14:paraId="7604C9DC" w14:textId="07E8C444" w:rsidR="00A06663" w:rsidRPr="004509FF" w:rsidRDefault="76194175" w:rsidP="00BE52A5">
            <w:pPr>
              <w:pStyle w:val="ListParagraph"/>
              <w:numPr>
                <w:ilvl w:val="0"/>
                <w:numId w:val="19"/>
              </w:numPr>
              <w:spacing w:after="40"/>
              <w:ind w:left="360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 xml:space="preserve">Hire and train an outside </w:t>
            </w:r>
            <w:r w:rsidR="000F7A73" w:rsidRPr="004509FF">
              <w:rPr>
                <w:sz w:val="20"/>
                <w:szCs w:val="20"/>
              </w:rPr>
              <w:t xml:space="preserve">substance use </w:t>
            </w:r>
            <w:r w:rsidRPr="004509FF">
              <w:rPr>
                <w:sz w:val="20"/>
                <w:szCs w:val="20"/>
              </w:rPr>
              <w:t xml:space="preserve">professional to complete AFRs with assistance from the HWD and Disability Coordinators (DCs). </w:t>
            </w:r>
            <w:r w:rsidR="000F7A73" w:rsidRPr="004509FF">
              <w:rPr>
                <w:sz w:val="20"/>
                <w:szCs w:val="20"/>
              </w:rPr>
              <w:t xml:space="preserve">NOTE: </w:t>
            </w:r>
            <w:r w:rsidRPr="004509FF">
              <w:rPr>
                <w:sz w:val="20"/>
                <w:szCs w:val="20"/>
              </w:rPr>
              <w:t>Th</w:t>
            </w:r>
            <w:r w:rsidR="000F7A73" w:rsidRPr="004509FF">
              <w:rPr>
                <w:sz w:val="20"/>
                <w:szCs w:val="20"/>
              </w:rPr>
              <w:t>is</w:t>
            </w:r>
            <w:r w:rsidRPr="004509FF">
              <w:rPr>
                <w:sz w:val="20"/>
                <w:szCs w:val="20"/>
              </w:rPr>
              <w:t xml:space="preserve"> provider must meet PRH credentialing requirements for the position and be approved by the R</w:t>
            </w:r>
            <w:r w:rsidR="7BB4320E" w:rsidRPr="004509FF">
              <w:rPr>
                <w:sz w:val="20"/>
                <w:szCs w:val="20"/>
              </w:rPr>
              <w:t xml:space="preserve">egional </w:t>
            </w:r>
            <w:r w:rsidRPr="004509FF">
              <w:rPr>
                <w:sz w:val="20"/>
                <w:szCs w:val="20"/>
              </w:rPr>
              <w:t>O</w:t>
            </w:r>
            <w:r w:rsidR="39CB2CB8" w:rsidRPr="004509FF">
              <w:rPr>
                <w:sz w:val="20"/>
                <w:szCs w:val="20"/>
              </w:rPr>
              <w:t>ffice</w:t>
            </w:r>
            <w:r w:rsidRPr="004509FF">
              <w:rPr>
                <w:sz w:val="20"/>
                <w:szCs w:val="20"/>
              </w:rPr>
              <w:t>/N</w:t>
            </w:r>
            <w:r w:rsidR="49802D67" w:rsidRPr="004509FF">
              <w:rPr>
                <w:sz w:val="20"/>
                <w:szCs w:val="20"/>
              </w:rPr>
              <w:t xml:space="preserve">ational </w:t>
            </w:r>
            <w:r w:rsidRPr="004509FF">
              <w:rPr>
                <w:sz w:val="20"/>
                <w:szCs w:val="20"/>
              </w:rPr>
              <w:t>O</w:t>
            </w:r>
            <w:r w:rsidR="1075CBE1" w:rsidRPr="004509FF">
              <w:rPr>
                <w:sz w:val="20"/>
                <w:szCs w:val="20"/>
              </w:rPr>
              <w:t>ffice</w:t>
            </w:r>
            <w:r w:rsidRPr="004509FF">
              <w:rPr>
                <w:sz w:val="20"/>
                <w:szCs w:val="20"/>
              </w:rPr>
              <w:t>.</w:t>
            </w:r>
            <w:bookmarkEnd w:id="1"/>
          </w:p>
        </w:tc>
        <w:tc>
          <w:tcPr>
            <w:tcW w:w="1910" w:type="dxa"/>
          </w:tcPr>
          <w:p w14:paraId="30C0E692" w14:textId="723F5FC3" w:rsidR="00A06663" w:rsidRPr="004509FF" w:rsidRDefault="000F7A73" w:rsidP="00BE52A5">
            <w:pPr>
              <w:spacing w:afterLines="40" w:after="96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Credentialed/</w:t>
            </w:r>
            <w:r w:rsidR="00A06663" w:rsidRPr="004509FF">
              <w:rPr>
                <w:sz w:val="20"/>
                <w:szCs w:val="20"/>
              </w:rPr>
              <w:t xml:space="preserve">Licensed </w:t>
            </w:r>
            <w:r w:rsidRPr="004509FF">
              <w:rPr>
                <w:sz w:val="20"/>
                <w:szCs w:val="20"/>
              </w:rPr>
              <w:t xml:space="preserve">substance use </w:t>
            </w:r>
            <w:r w:rsidR="00A06663" w:rsidRPr="004509FF">
              <w:rPr>
                <w:sz w:val="20"/>
                <w:szCs w:val="20"/>
              </w:rPr>
              <w:t>or medical professional</w:t>
            </w:r>
          </w:p>
        </w:tc>
      </w:tr>
      <w:tr w:rsidR="00A06663" w:rsidRPr="004509FF" w14:paraId="04C0AAA2" w14:textId="77777777" w:rsidTr="54A27FBE">
        <w:tc>
          <w:tcPr>
            <w:tcW w:w="2062" w:type="dxa"/>
          </w:tcPr>
          <w:p w14:paraId="75C763F8" w14:textId="3D2EB5AC" w:rsidR="00A06663" w:rsidRPr="004509FF" w:rsidRDefault="7F68FC11" w:rsidP="00BE52A5">
            <w:pPr>
              <w:spacing w:afterLines="40" w:after="96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lastRenderedPageBreak/>
              <w:t xml:space="preserve">1-hour presentation on </w:t>
            </w:r>
            <w:r w:rsidR="000F7A73" w:rsidRPr="004509FF">
              <w:rPr>
                <w:sz w:val="20"/>
                <w:szCs w:val="20"/>
              </w:rPr>
              <w:t>TEAP</w:t>
            </w:r>
            <w:r w:rsidRPr="004509FF">
              <w:rPr>
                <w:sz w:val="20"/>
                <w:szCs w:val="20"/>
              </w:rPr>
              <w:t xml:space="preserve"> for all new students during CPP </w:t>
            </w:r>
          </w:p>
        </w:tc>
        <w:tc>
          <w:tcPr>
            <w:tcW w:w="8983" w:type="dxa"/>
          </w:tcPr>
          <w:p w14:paraId="5B068C57" w14:textId="06ADF993" w:rsidR="00B1788C" w:rsidRPr="004509FF" w:rsidRDefault="000F7A73" w:rsidP="00BE52A5">
            <w:pPr>
              <w:pStyle w:val="ListParagraph"/>
              <w:numPr>
                <w:ilvl w:val="0"/>
                <w:numId w:val="31"/>
              </w:numPr>
              <w:spacing w:after="40"/>
              <w:ind w:left="360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</w:rPr>
            </w:pPr>
            <w:r w:rsidRPr="004509FF">
              <w:rPr>
                <w:rFonts w:ascii="Calibri" w:hAnsi="Calibri" w:cs="Calibri"/>
                <w:sz w:val="20"/>
                <w:szCs w:val="20"/>
              </w:rPr>
              <w:t xml:space="preserve">Topics to cover and other information on </w:t>
            </w:r>
            <w:r w:rsidR="76194175" w:rsidRPr="004509FF">
              <w:rPr>
                <w:rFonts w:ascii="Calibri" w:hAnsi="Calibri" w:cs="Calibri"/>
                <w:sz w:val="20"/>
                <w:szCs w:val="20"/>
              </w:rPr>
              <w:t>this presentation is available on the Job Corps Health and Wellness website</w:t>
            </w:r>
            <w:r w:rsidRPr="004509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2" w:anchor="forms">
              <w:r w:rsidRPr="004509FF">
                <w:rPr>
                  <w:rStyle w:val="Hyperlink"/>
                  <w:sz w:val="20"/>
                  <w:szCs w:val="20"/>
                </w:rPr>
                <w:t>Suggested Career Preparation Period (CPP) Activity for TEAP</w:t>
              </w:r>
            </w:hyperlink>
            <w:r w:rsidRPr="004509FF">
              <w:rPr>
                <w:rFonts w:ascii="Calibri" w:hAnsi="Calibri" w:cs="Calibri"/>
                <w:color w:val="666666"/>
                <w:sz w:val="20"/>
                <w:szCs w:val="20"/>
              </w:rPr>
              <w:t xml:space="preserve"> and </w:t>
            </w:r>
            <w:hyperlink r:id="rId13" w:anchor="forms">
              <w:r w:rsidRPr="004509FF">
                <w:rPr>
                  <w:rStyle w:val="Hyperlink"/>
                  <w:sz w:val="20"/>
                  <w:szCs w:val="20"/>
                </w:rPr>
                <w:t>TEAP CPP Welcome Letter</w:t>
              </w:r>
            </w:hyperlink>
            <w:r w:rsidR="006B35E9" w:rsidRPr="004509FF">
              <w:rPr>
                <w:rStyle w:val="Hyperlink"/>
                <w:rFonts w:ascii="Calibri" w:hAnsi="Calibri" w:cs="Calibri"/>
                <w:color w:val="0072C6"/>
                <w:sz w:val="20"/>
                <w:szCs w:val="20"/>
                <w:u w:val="none"/>
              </w:rPr>
              <w:t>.</w:t>
            </w:r>
          </w:p>
          <w:p w14:paraId="23C9005E" w14:textId="52EED517" w:rsidR="00B1788C" w:rsidRPr="004509FF" w:rsidRDefault="0F4EDE8A" w:rsidP="00BE52A5">
            <w:pPr>
              <w:pStyle w:val="ListParagraph"/>
              <w:numPr>
                <w:ilvl w:val="0"/>
                <w:numId w:val="31"/>
              </w:numPr>
              <w:spacing w:after="40"/>
              <w:ind w:left="360"/>
              <w:rPr>
                <w:rStyle w:val="Hyperlink"/>
                <w:rFonts w:eastAsiaTheme="minorEastAsia"/>
                <w:color w:val="auto"/>
                <w:sz w:val="20"/>
                <w:szCs w:val="20"/>
                <w:u w:val="none"/>
              </w:rPr>
            </w:pPr>
            <w:r w:rsidRPr="004509FF">
              <w:rPr>
                <w:rStyle w:val="Hyperlink"/>
                <w:rFonts w:eastAsiaTheme="minorEastAsia"/>
                <w:color w:val="000000" w:themeColor="text1"/>
                <w:sz w:val="20"/>
                <w:szCs w:val="20"/>
                <w:u w:val="none"/>
              </w:rPr>
              <w:t>Ensure coverage of</w:t>
            </w:r>
            <w:r w:rsidR="00B1788C" w:rsidRPr="004509FF">
              <w:rPr>
                <w:rStyle w:val="Hyperlink"/>
                <w:rFonts w:eastAsiaTheme="minorEastAsia"/>
                <w:color w:val="000000" w:themeColor="text1"/>
                <w:sz w:val="20"/>
                <w:szCs w:val="20"/>
                <w:u w:val="none"/>
              </w:rPr>
              <w:t xml:space="preserve"> the required topics from </w:t>
            </w:r>
            <w:hyperlink r:id="rId14" w:history="1">
              <w:r w:rsidR="00B1788C" w:rsidRPr="004509FF">
                <w:rPr>
                  <w:rStyle w:val="Hyperlink"/>
                  <w:rFonts w:eastAsiaTheme="minorEastAsia"/>
                  <w:sz w:val="20"/>
                  <w:szCs w:val="20"/>
                  <w:shd w:val="clear" w:color="auto" w:fill="FFFFFF"/>
                </w:rPr>
                <w:t>Job Corps Program Instruction Notice 22-16</w:t>
              </w:r>
            </w:hyperlink>
            <w:r w:rsidR="00B1788C" w:rsidRPr="004509FF">
              <w:rPr>
                <w:rStyle w:val="normaltextrun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="00B1788C" w:rsidRPr="004509FF">
              <w:rPr>
                <w:rStyle w:val="eop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D53092A" w14:textId="15BE6784" w:rsidR="00A06663" w:rsidRPr="004509FF" w:rsidRDefault="000F7A73" w:rsidP="00BE52A5">
            <w:pPr>
              <w:pStyle w:val="ListParagraph"/>
              <w:numPr>
                <w:ilvl w:val="0"/>
                <w:numId w:val="31"/>
              </w:numPr>
              <w:spacing w:after="40"/>
              <w:ind w:left="360"/>
              <w:rPr>
                <w:rFonts w:eastAsiaTheme="minorEastAsia"/>
                <w:sz w:val="20"/>
                <w:szCs w:val="20"/>
              </w:rPr>
            </w:pPr>
            <w:r w:rsidRPr="004509FF">
              <w:rPr>
                <w:rFonts w:eastAsiaTheme="minorEastAsia"/>
                <w:sz w:val="20"/>
                <w:szCs w:val="20"/>
              </w:rPr>
              <w:t>I</w:t>
            </w:r>
            <w:r w:rsidR="6258567C" w:rsidRPr="004509FF">
              <w:rPr>
                <w:rFonts w:eastAsiaTheme="minorEastAsia"/>
                <w:sz w:val="20"/>
                <w:szCs w:val="20"/>
              </w:rPr>
              <w:t>nclude information on</w:t>
            </w:r>
            <w:r w:rsidR="76194175" w:rsidRPr="004509FF">
              <w:rPr>
                <w:rFonts w:eastAsiaTheme="minorEastAsia"/>
                <w:sz w:val="20"/>
                <w:szCs w:val="20"/>
              </w:rPr>
              <w:t xml:space="preserve"> how </w:t>
            </w:r>
            <w:r w:rsidRPr="004509FF">
              <w:rPr>
                <w:rFonts w:eastAsiaTheme="minorEastAsia"/>
                <w:sz w:val="20"/>
                <w:szCs w:val="20"/>
              </w:rPr>
              <w:t>TEAP</w:t>
            </w:r>
            <w:r w:rsidR="76194175" w:rsidRPr="004509FF">
              <w:rPr>
                <w:rFonts w:eastAsiaTheme="minorEastAsia"/>
                <w:sz w:val="20"/>
                <w:szCs w:val="20"/>
              </w:rPr>
              <w:t xml:space="preserve"> services will be covered during a period without a</w:t>
            </w:r>
            <w:r w:rsidR="0064495C" w:rsidRPr="004509FF">
              <w:rPr>
                <w:rFonts w:eastAsiaTheme="minorEastAsia"/>
                <w:sz w:val="20"/>
                <w:szCs w:val="20"/>
              </w:rPr>
              <w:t xml:space="preserve"> TEAP specialist</w:t>
            </w:r>
            <w:r w:rsidR="76194175" w:rsidRPr="004509FF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910" w:type="dxa"/>
          </w:tcPr>
          <w:p w14:paraId="75939BFF" w14:textId="27E39775" w:rsidR="00A06663" w:rsidRPr="004509FF" w:rsidRDefault="00A06663" w:rsidP="00BE52A5">
            <w:pPr>
              <w:spacing w:afterLines="40" w:after="96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H&amp;W staff</w:t>
            </w:r>
          </w:p>
        </w:tc>
      </w:tr>
      <w:tr w:rsidR="002A18CB" w:rsidRPr="004509FF" w14:paraId="42F1239E" w14:textId="77777777" w:rsidTr="54A27FBE">
        <w:tc>
          <w:tcPr>
            <w:tcW w:w="2062" w:type="dxa"/>
          </w:tcPr>
          <w:p w14:paraId="428B3EB0" w14:textId="78DDD922" w:rsidR="002A18CB" w:rsidRPr="004509FF" w:rsidRDefault="002A18CB" w:rsidP="00BE52A5">
            <w:pPr>
              <w:spacing w:afterLines="40" w:after="96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Entrance</w:t>
            </w:r>
            <w:r w:rsidR="006527AA" w:rsidRPr="004509FF">
              <w:rPr>
                <w:sz w:val="20"/>
                <w:szCs w:val="20"/>
              </w:rPr>
              <w:t xml:space="preserve"> and Follow-up</w:t>
            </w:r>
            <w:r w:rsidRPr="004509FF">
              <w:rPr>
                <w:sz w:val="20"/>
                <w:szCs w:val="20"/>
              </w:rPr>
              <w:t xml:space="preserve"> </w:t>
            </w:r>
            <w:r w:rsidR="00C66D98" w:rsidRPr="004509FF">
              <w:rPr>
                <w:sz w:val="20"/>
                <w:szCs w:val="20"/>
              </w:rPr>
              <w:t>Urine Drug Screen (</w:t>
            </w:r>
            <w:r w:rsidRPr="004509FF">
              <w:rPr>
                <w:sz w:val="20"/>
                <w:szCs w:val="20"/>
              </w:rPr>
              <w:t>UDS</w:t>
            </w:r>
            <w:r w:rsidR="00C66D98" w:rsidRPr="004509FF">
              <w:rPr>
                <w:sz w:val="20"/>
                <w:szCs w:val="20"/>
              </w:rPr>
              <w:t>)</w:t>
            </w:r>
          </w:p>
        </w:tc>
        <w:tc>
          <w:tcPr>
            <w:tcW w:w="8983" w:type="dxa"/>
          </w:tcPr>
          <w:p w14:paraId="4412DC3A" w14:textId="31020226" w:rsidR="002A18CB" w:rsidRPr="004509FF" w:rsidRDefault="26C9718B" w:rsidP="00BE52A5">
            <w:pPr>
              <w:pStyle w:val="ListParagraph"/>
              <w:numPr>
                <w:ilvl w:val="0"/>
                <w:numId w:val="32"/>
              </w:numPr>
              <w:spacing w:after="4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4509FF">
              <w:rPr>
                <w:rFonts w:ascii="Calibri" w:hAnsi="Calibri" w:cs="Calibri"/>
                <w:sz w:val="20"/>
                <w:szCs w:val="20"/>
              </w:rPr>
              <w:t>C</w:t>
            </w:r>
            <w:r w:rsidR="002A18CB" w:rsidRPr="004509FF">
              <w:rPr>
                <w:rFonts w:ascii="Calibri" w:hAnsi="Calibri" w:cs="Calibri"/>
                <w:sz w:val="20"/>
                <w:szCs w:val="20"/>
              </w:rPr>
              <w:t>ollect the entry UDS when collecting other biological samples.</w:t>
            </w:r>
          </w:p>
          <w:p w14:paraId="721CBB6E" w14:textId="4F861E2B" w:rsidR="006527AA" w:rsidRPr="004509FF" w:rsidRDefault="006527AA" w:rsidP="00BE52A5">
            <w:pPr>
              <w:pStyle w:val="ListParagraph"/>
              <w:numPr>
                <w:ilvl w:val="0"/>
                <w:numId w:val="32"/>
              </w:numPr>
              <w:spacing w:after="4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4509FF">
              <w:rPr>
                <w:rFonts w:ascii="Calibri" w:hAnsi="Calibri" w:cs="Calibri"/>
                <w:sz w:val="20"/>
                <w:szCs w:val="20"/>
              </w:rPr>
              <w:t xml:space="preserve">Designate a staff member to review the entry UDS results and print them to put into </w:t>
            </w:r>
            <w:r w:rsidR="2B53AEB8" w:rsidRPr="004509FF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4509FF">
              <w:rPr>
                <w:rFonts w:ascii="Calibri" w:hAnsi="Calibri" w:cs="Calibri"/>
                <w:sz w:val="20"/>
                <w:szCs w:val="20"/>
              </w:rPr>
              <w:t>SHR</w:t>
            </w:r>
            <w:r w:rsidR="1DED261D" w:rsidRPr="004509F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C0DB6FF" w14:textId="42E7F217" w:rsidR="002A18CB" w:rsidRPr="004509FF" w:rsidRDefault="006527AA" w:rsidP="00BE52A5">
            <w:pPr>
              <w:pStyle w:val="ListParagraph"/>
              <w:numPr>
                <w:ilvl w:val="0"/>
                <w:numId w:val="32"/>
              </w:numPr>
              <w:spacing w:after="4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4509FF">
              <w:rPr>
                <w:rFonts w:ascii="Calibri" w:hAnsi="Calibri" w:cs="Calibri"/>
                <w:sz w:val="20"/>
                <w:szCs w:val="20"/>
              </w:rPr>
              <w:t>Develop a method of tracking to ensure a follow-up drug test is collected 37-40 days after date of arrival for those students who test positive on entrance.</w:t>
            </w:r>
          </w:p>
          <w:p w14:paraId="6E2AFAD4" w14:textId="77777777" w:rsidR="002A18CB" w:rsidRPr="004509FF" w:rsidRDefault="002A18CB" w:rsidP="00BE52A5">
            <w:pPr>
              <w:pStyle w:val="ListParagraph"/>
              <w:numPr>
                <w:ilvl w:val="0"/>
                <w:numId w:val="32"/>
              </w:numPr>
              <w:spacing w:after="4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4509FF">
              <w:rPr>
                <w:rFonts w:ascii="Calibri" w:hAnsi="Calibri" w:cs="Calibri"/>
                <w:sz w:val="20"/>
                <w:szCs w:val="20"/>
              </w:rPr>
              <w:t xml:space="preserve">Meet with students within 24 hours of results to congratulate those who are negative and review </w:t>
            </w:r>
            <w:hyperlink r:id="rId15" w:anchor="forms" w:history="1">
              <w:r w:rsidRPr="004509FF">
                <w:rPr>
                  <w:rStyle w:val="Hyperlink"/>
                  <w:rFonts w:ascii="Calibri" w:hAnsi="Calibri" w:cs="Calibri"/>
                  <w:sz w:val="20"/>
                  <w:szCs w:val="20"/>
                </w:rPr>
                <w:t>TEAP Intervention Agreement</w:t>
              </w:r>
            </w:hyperlink>
            <w:r w:rsidRPr="004509FF">
              <w:rPr>
                <w:rFonts w:ascii="Calibri" w:hAnsi="Calibri" w:cs="Calibri"/>
                <w:sz w:val="20"/>
                <w:szCs w:val="20"/>
              </w:rPr>
              <w:t xml:space="preserve"> with those who are positive on entrance. </w:t>
            </w:r>
          </w:p>
          <w:p w14:paraId="72F0C398" w14:textId="2392AFE0" w:rsidR="002A18CB" w:rsidRPr="004509FF" w:rsidRDefault="54A27FBE" w:rsidP="00BE52A5">
            <w:pPr>
              <w:pStyle w:val="ListParagraph"/>
              <w:numPr>
                <w:ilvl w:val="0"/>
                <w:numId w:val="32"/>
              </w:numPr>
              <w:spacing w:after="4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4509FF">
              <w:rPr>
                <w:rFonts w:ascii="Calibri" w:hAnsi="Calibri" w:cs="Calibri"/>
                <w:sz w:val="20"/>
                <w:szCs w:val="20"/>
              </w:rPr>
              <w:t xml:space="preserve">Designate staff to collect the follow-up UDS and for those who test positive for THC – enter both the entry and follow-up results into CIS to determine if a positive follow-up UDS is due to residual use or active/current use. </w:t>
            </w:r>
          </w:p>
        </w:tc>
        <w:tc>
          <w:tcPr>
            <w:tcW w:w="1910" w:type="dxa"/>
          </w:tcPr>
          <w:p w14:paraId="198CA05F" w14:textId="1BB9F03E" w:rsidR="002A18CB" w:rsidRPr="004509FF" w:rsidRDefault="00D22DFB" w:rsidP="00BE52A5">
            <w:pPr>
              <w:spacing w:afterLines="40" w:after="96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H&amp;W staff</w:t>
            </w:r>
          </w:p>
        </w:tc>
      </w:tr>
      <w:tr w:rsidR="006527AA" w:rsidRPr="004509FF" w14:paraId="5B10A5DC" w14:textId="77777777" w:rsidTr="54A27FBE">
        <w:tc>
          <w:tcPr>
            <w:tcW w:w="2062" w:type="dxa"/>
          </w:tcPr>
          <w:p w14:paraId="275D65BF" w14:textId="73507F1D" w:rsidR="006527AA" w:rsidRPr="004509FF" w:rsidRDefault="006527AA" w:rsidP="00BE52A5">
            <w:pPr>
              <w:spacing w:afterLines="40" w:after="96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Intervention Services</w:t>
            </w:r>
          </w:p>
        </w:tc>
        <w:tc>
          <w:tcPr>
            <w:tcW w:w="8983" w:type="dxa"/>
          </w:tcPr>
          <w:p w14:paraId="0B0D5464" w14:textId="2536FEA5" w:rsidR="006527AA" w:rsidRPr="004509FF" w:rsidRDefault="006527AA" w:rsidP="00BE52A5">
            <w:pPr>
              <w:pStyle w:val="ListParagraph"/>
              <w:numPr>
                <w:ilvl w:val="0"/>
                <w:numId w:val="32"/>
              </w:numPr>
              <w:spacing w:after="4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4509FF">
              <w:rPr>
                <w:rFonts w:ascii="Calibri" w:hAnsi="Calibri" w:cs="Calibri"/>
                <w:sz w:val="20"/>
                <w:szCs w:val="20"/>
              </w:rPr>
              <w:t xml:space="preserve">Identify other staff outside of </w:t>
            </w:r>
            <w:r w:rsidR="02623264" w:rsidRPr="004509FF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4509FF">
              <w:rPr>
                <w:rFonts w:ascii="Calibri" w:hAnsi="Calibri" w:cs="Calibri"/>
                <w:sz w:val="20"/>
                <w:szCs w:val="20"/>
              </w:rPr>
              <w:t>HWC who might assist with intervention services and develop a method to ensure these services are documented.</w:t>
            </w:r>
          </w:p>
          <w:p w14:paraId="64BFAD27" w14:textId="2862963F" w:rsidR="006527AA" w:rsidRPr="004509FF" w:rsidRDefault="006527AA" w:rsidP="00BE52A5">
            <w:pPr>
              <w:pStyle w:val="ListParagraph"/>
              <w:numPr>
                <w:ilvl w:val="0"/>
                <w:numId w:val="32"/>
              </w:numPr>
              <w:spacing w:after="4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4509FF">
              <w:rPr>
                <w:rFonts w:ascii="Calibri" w:hAnsi="Calibri" w:cs="Calibri"/>
                <w:sz w:val="20"/>
                <w:szCs w:val="20"/>
              </w:rPr>
              <w:t>Ensure students receive at least 7 intervention sessions (including 2 individual sessions) that are documented in the SHR.</w:t>
            </w:r>
          </w:p>
          <w:p w14:paraId="2B2EBE7A" w14:textId="66372F64" w:rsidR="006527AA" w:rsidRPr="004509FF" w:rsidRDefault="006527AA" w:rsidP="00BE52A5">
            <w:pPr>
              <w:pStyle w:val="ListParagraph"/>
              <w:numPr>
                <w:ilvl w:val="0"/>
                <w:numId w:val="32"/>
              </w:numPr>
              <w:spacing w:after="4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 xml:space="preserve">Coordinate with recreation to develop activities to help students exercise or learn leisure time activities such as workouts, art activities, a walking </w:t>
            </w:r>
            <w:r w:rsidR="005658C9" w:rsidRPr="004509FF">
              <w:rPr>
                <w:sz w:val="20"/>
                <w:szCs w:val="20"/>
              </w:rPr>
              <w:t>club,</w:t>
            </w:r>
            <w:r w:rsidRPr="004509FF">
              <w:rPr>
                <w:sz w:val="20"/>
                <w:szCs w:val="20"/>
              </w:rPr>
              <w:t xml:space="preserve"> or other activities for at least 15 hours during the intervention period.</w:t>
            </w:r>
          </w:p>
          <w:p w14:paraId="45152102" w14:textId="639E487C" w:rsidR="006527AA" w:rsidRPr="004509FF" w:rsidRDefault="006527AA" w:rsidP="00BE52A5">
            <w:pPr>
              <w:pStyle w:val="ListParagraph"/>
              <w:numPr>
                <w:ilvl w:val="0"/>
                <w:numId w:val="32"/>
              </w:numPr>
              <w:spacing w:after="4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Have students identify staff members to talk with for support.</w:t>
            </w:r>
          </w:p>
        </w:tc>
        <w:tc>
          <w:tcPr>
            <w:tcW w:w="1910" w:type="dxa"/>
          </w:tcPr>
          <w:p w14:paraId="56A034A6" w14:textId="59845A0B" w:rsidR="006527AA" w:rsidRPr="004509FF" w:rsidRDefault="00D22DFB" w:rsidP="00BE52A5">
            <w:pPr>
              <w:spacing w:afterLines="40" w:after="96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H&amp;W staff and other center staff</w:t>
            </w:r>
          </w:p>
        </w:tc>
      </w:tr>
      <w:tr w:rsidR="006527AA" w:rsidRPr="004509FF" w14:paraId="2B5AA44C" w14:textId="77777777" w:rsidTr="54A27FBE">
        <w:tc>
          <w:tcPr>
            <w:tcW w:w="2062" w:type="dxa"/>
          </w:tcPr>
          <w:p w14:paraId="55B24619" w14:textId="2CB231E3" w:rsidR="006527AA" w:rsidRPr="004509FF" w:rsidRDefault="006527AA" w:rsidP="00BE52A5">
            <w:pPr>
              <w:spacing w:afterLines="40" w:after="96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Suspicion Screen Referrals</w:t>
            </w:r>
          </w:p>
        </w:tc>
        <w:tc>
          <w:tcPr>
            <w:tcW w:w="8983" w:type="dxa"/>
          </w:tcPr>
          <w:p w14:paraId="3338239F" w14:textId="0F859A9D" w:rsidR="006527AA" w:rsidRPr="004509FF" w:rsidRDefault="006527AA" w:rsidP="00BE52A5">
            <w:pPr>
              <w:pStyle w:val="ListParagraph"/>
              <w:numPr>
                <w:ilvl w:val="0"/>
                <w:numId w:val="32"/>
              </w:numPr>
              <w:spacing w:after="4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4509FF">
              <w:rPr>
                <w:rFonts w:ascii="Calibri" w:hAnsi="Calibri" w:cs="Calibri"/>
                <w:sz w:val="20"/>
                <w:szCs w:val="20"/>
              </w:rPr>
              <w:t xml:space="preserve">Ensure the </w:t>
            </w:r>
            <w:hyperlink r:id="rId16" w:anchor="forms">
              <w:r w:rsidR="31A09049" w:rsidRPr="004509FF">
                <w:rPr>
                  <w:rStyle w:val="Hyperlink"/>
                  <w:rFonts w:ascii="Calibri" w:hAnsi="Calibri" w:cs="Calibri"/>
                  <w:sz w:val="20"/>
                  <w:szCs w:val="20"/>
                </w:rPr>
                <w:t>TEAP referral form</w:t>
              </w:r>
            </w:hyperlink>
            <w:r w:rsidRPr="004509FF">
              <w:rPr>
                <w:rFonts w:ascii="Calibri" w:hAnsi="Calibri" w:cs="Calibri"/>
                <w:sz w:val="20"/>
                <w:szCs w:val="20"/>
              </w:rPr>
              <w:t xml:space="preserve"> has multiple and notable signs of use and follow </w:t>
            </w:r>
            <w:r w:rsidR="5DF10C65" w:rsidRPr="004509FF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4509FF">
              <w:rPr>
                <w:rFonts w:ascii="Calibri" w:hAnsi="Calibri" w:cs="Calibri"/>
                <w:sz w:val="20"/>
                <w:szCs w:val="20"/>
              </w:rPr>
              <w:t xml:space="preserve">center’s suspicion screen process. </w:t>
            </w:r>
          </w:p>
        </w:tc>
        <w:tc>
          <w:tcPr>
            <w:tcW w:w="1910" w:type="dxa"/>
          </w:tcPr>
          <w:p w14:paraId="0BBB4BE1" w14:textId="2BA6FB97" w:rsidR="006527AA" w:rsidRPr="004509FF" w:rsidRDefault="00D22DFB" w:rsidP="00BE52A5">
            <w:pPr>
              <w:spacing w:afterLines="40" w:after="96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H&amp;W staff</w:t>
            </w:r>
          </w:p>
        </w:tc>
      </w:tr>
      <w:tr w:rsidR="00113456" w:rsidRPr="004509FF" w14:paraId="13BD808C" w14:textId="77777777" w:rsidTr="54A27FBE">
        <w:tc>
          <w:tcPr>
            <w:tcW w:w="2062" w:type="dxa"/>
          </w:tcPr>
          <w:p w14:paraId="2A878E09" w14:textId="5E0A20CF" w:rsidR="00113456" w:rsidRPr="004509FF" w:rsidRDefault="00113456" w:rsidP="00BE52A5">
            <w:pPr>
              <w:spacing w:afterLines="40" w:after="96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 xml:space="preserve">Relapse Prevention Services </w:t>
            </w:r>
          </w:p>
        </w:tc>
        <w:tc>
          <w:tcPr>
            <w:tcW w:w="8983" w:type="dxa"/>
          </w:tcPr>
          <w:p w14:paraId="607D1781" w14:textId="0F79E102" w:rsidR="00113456" w:rsidRPr="004509FF" w:rsidRDefault="00113456" w:rsidP="00BE52A5">
            <w:pPr>
              <w:pStyle w:val="ListParagraph"/>
              <w:numPr>
                <w:ilvl w:val="0"/>
                <w:numId w:val="32"/>
              </w:numPr>
              <w:spacing w:after="4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4509FF">
              <w:rPr>
                <w:rFonts w:ascii="Calibri" w:hAnsi="Calibri" w:cs="Calibri"/>
                <w:sz w:val="20"/>
                <w:szCs w:val="20"/>
              </w:rPr>
              <w:t xml:space="preserve">Ensure access to online support services (such as </w:t>
            </w:r>
            <w:hyperlink r:id="rId17">
              <w:r w:rsidRPr="004509FF">
                <w:rPr>
                  <w:rStyle w:val="Hyperlink"/>
                  <w:rFonts w:ascii="Calibri" w:hAnsi="Calibri" w:cs="Calibri"/>
                  <w:sz w:val="20"/>
                  <w:szCs w:val="20"/>
                </w:rPr>
                <w:t>AA</w:t>
              </w:r>
            </w:hyperlink>
            <w:r w:rsidRPr="004509FF">
              <w:rPr>
                <w:rFonts w:ascii="Calibri" w:hAnsi="Calibri" w:cs="Calibri"/>
                <w:sz w:val="20"/>
                <w:szCs w:val="20"/>
              </w:rPr>
              <w:t xml:space="preserve"> or </w:t>
            </w:r>
            <w:hyperlink r:id="rId18">
              <w:r w:rsidRPr="004509FF">
                <w:rPr>
                  <w:rStyle w:val="Hyperlink"/>
                  <w:rFonts w:ascii="Calibri" w:hAnsi="Calibri" w:cs="Calibri"/>
                  <w:sz w:val="20"/>
                  <w:szCs w:val="20"/>
                </w:rPr>
                <w:t>NA</w:t>
              </w:r>
            </w:hyperlink>
            <w:r w:rsidRPr="004509FF">
              <w:rPr>
                <w:rFonts w:ascii="Calibri" w:hAnsi="Calibri" w:cs="Calibri"/>
                <w:sz w:val="20"/>
                <w:szCs w:val="20"/>
              </w:rPr>
              <w:t>)</w:t>
            </w:r>
            <w:r w:rsidR="73A4F720" w:rsidRPr="004509F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D60A91E" w14:textId="12D477AC" w:rsidR="00113456" w:rsidRPr="004509FF" w:rsidRDefault="00113456" w:rsidP="00BE52A5">
            <w:pPr>
              <w:pStyle w:val="ListParagraph"/>
              <w:numPr>
                <w:ilvl w:val="0"/>
                <w:numId w:val="32"/>
              </w:numPr>
              <w:spacing w:after="4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4509FF">
              <w:rPr>
                <w:rFonts w:ascii="Calibri" w:hAnsi="Calibri" w:cs="Calibri"/>
                <w:sz w:val="20"/>
                <w:szCs w:val="20"/>
              </w:rPr>
              <w:t>Designate a staff to meet with those students retained due to residual concentrations of THC.</w:t>
            </w:r>
          </w:p>
        </w:tc>
        <w:tc>
          <w:tcPr>
            <w:tcW w:w="1910" w:type="dxa"/>
          </w:tcPr>
          <w:p w14:paraId="7044A010" w14:textId="22572D66" w:rsidR="00113456" w:rsidRPr="004509FF" w:rsidRDefault="00113456" w:rsidP="00BE52A5">
            <w:pPr>
              <w:spacing w:afterLines="40" w:after="96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H&amp;W staff</w:t>
            </w:r>
          </w:p>
        </w:tc>
      </w:tr>
      <w:tr w:rsidR="00A06663" w:rsidRPr="004509FF" w14:paraId="76A514E9" w14:textId="77777777" w:rsidTr="54A27FBE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0C9B4059" w14:textId="2D9CC6AC" w:rsidR="00A06663" w:rsidRPr="004509FF" w:rsidRDefault="7F68FC11" w:rsidP="00DF55B0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4509FF">
              <w:rPr>
                <w:b/>
                <w:bCs/>
                <w:i/>
                <w:iCs/>
                <w:sz w:val="20"/>
                <w:szCs w:val="20"/>
              </w:rPr>
              <w:t xml:space="preserve">Frequency: </w:t>
            </w:r>
            <w:r w:rsidR="0064495C" w:rsidRPr="004509FF">
              <w:rPr>
                <w:b/>
                <w:bCs/>
                <w:i/>
                <w:iCs/>
                <w:sz w:val="20"/>
                <w:szCs w:val="20"/>
              </w:rPr>
              <w:t xml:space="preserve">Annually </w:t>
            </w:r>
          </w:p>
        </w:tc>
      </w:tr>
      <w:tr w:rsidR="00A06663" w:rsidRPr="004509FF" w14:paraId="054E80EB" w14:textId="77777777" w:rsidTr="54A27FBE">
        <w:tc>
          <w:tcPr>
            <w:tcW w:w="2062" w:type="dxa"/>
          </w:tcPr>
          <w:p w14:paraId="63663060" w14:textId="35A16C66" w:rsidR="00A06663" w:rsidRPr="004509FF" w:rsidRDefault="0064495C" w:rsidP="00BE52A5">
            <w:pPr>
              <w:spacing w:afterLines="40" w:after="96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Annual center-wide activities</w:t>
            </w:r>
            <w:r w:rsidR="006527AA" w:rsidRPr="004509FF">
              <w:rPr>
                <w:sz w:val="20"/>
                <w:szCs w:val="20"/>
              </w:rPr>
              <w:t xml:space="preserve"> (at least 3 per year)</w:t>
            </w:r>
          </w:p>
        </w:tc>
        <w:tc>
          <w:tcPr>
            <w:tcW w:w="8983" w:type="dxa"/>
          </w:tcPr>
          <w:p w14:paraId="4E6C9213" w14:textId="170324DB" w:rsidR="0064495C" w:rsidRPr="004509FF" w:rsidRDefault="0064495C" w:rsidP="00BE52A5">
            <w:pPr>
              <w:pStyle w:val="ListParagraph"/>
              <w:numPr>
                <w:ilvl w:val="0"/>
                <w:numId w:val="20"/>
              </w:numPr>
              <w:spacing w:after="40"/>
              <w:ind w:left="360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 xml:space="preserve">Enlist community </w:t>
            </w:r>
            <w:r w:rsidR="00B1788C" w:rsidRPr="004509FF">
              <w:rPr>
                <w:sz w:val="20"/>
                <w:szCs w:val="20"/>
              </w:rPr>
              <w:t>speakers/</w:t>
            </w:r>
            <w:r w:rsidRPr="004509FF">
              <w:rPr>
                <w:sz w:val="20"/>
                <w:szCs w:val="20"/>
              </w:rPr>
              <w:t>resources to provide a brief presentation at a center-wide assembly.</w:t>
            </w:r>
          </w:p>
          <w:p w14:paraId="0369C4E2" w14:textId="118D112E" w:rsidR="0064495C" w:rsidRPr="004509FF" w:rsidRDefault="75955BB8" w:rsidP="00BE52A5">
            <w:pPr>
              <w:pStyle w:val="ListParagraph"/>
              <w:numPr>
                <w:ilvl w:val="0"/>
                <w:numId w:val="20"/>
              </w:numPr>
              <w:spacing w:after="40"/>
              <w:ind w:left="360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Provide</w:t>
            </w:r>
            <w:r w:rsidR="0064495C" w:rsidRPr="004509FF">
              <w:rPr>
                <w:sz w:val="20"/>
                <w:szCs w:val="20"/>
              </w:rPr>
              <w:t xml:space="preserve"> substance use prevention materials during the student lunch hour. </w:t>
            </w:r>
          </w:p>
          <w:p w14:paraId="16AFFE89" w14:textId="546DAFB0" w:rsidR="0064495C" w:rsidRPr="004509FF" w:rsidRDefault="0064495C" w:rsidP="00BE52A5">
            <w:pPr>
              <w:pStyle w:val="ListParagraph"/>
              <w:numPr>
                <w:ilvl w:val="0"/>
                <w:numId w:val="20"/>
              </w:numPr>
              <w:spacing w:after="40"/>
              <w:ind w:left="360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 xml:space="preserve">Consider making use of electronic communications, such as emails, </w:t>
            </w:r>
            <w:r w:rsidR="00F75A2C" w:rsidRPr="004509FF">
              <w:rPr>
                <w:sz w:val="20"/>
                <w:szCs w:val="20"/>
              </w:rPr>
              <w:t>newsletters,</w:t>
            </w:r>
            <w:r w:rsidRPr="004509FF">
              <w:rPr>
                <w:sz w:val="20"/>
                <w:szCs w:val="20"/>
              </w:rPr>
              <w:t xml:space="preserve"> and electronic bulletin boards to promote </w:t>
            </w:r>
            <w:r w:rsidR="1A5CBDBE" w:rsidRPr="004509FF">
              <w:rPr>
                <w:sz w:val="20"/>
                <w:szCs w:val="20"/>
              </w:rPr>
              <w:t xml:space="preserve">the </w:t>
            </w:r>
            <w:r w:rsidRPr="004509FF">
              <w:rPr>
                <w:sz w:val="20"/>
                <w:szCs w:val="20"/>
              </w:rPr>
              <w:t>TEAP. This increases visibility of program with very little effort.</w:t>
            </w:r>
          </w:p>
          <w:p w14:paraId="502FC5A5" w14:textId="58644250" w:rsidR="00A06663" w:rsidRPr="004509FF" w:rsidRDefault="0064495C" w:rsidP="00BE52A5">
            <w:pPr>
              <w:pStyle w:val="ListParagraph"/>
              <w:numPr>
                <w:ilvl w:val="0"/>
                <w:numId w:val="20"/>
              </w:numPr>
              <w:spacing w:after="40"/>
              <w:ind w:left="360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 xml:space="preserve">Utilize the </w:t>
            </w:r>
            <w:hyperlink r:id="rId19" w:anchor="forms">
              <w:r w:rsidRPr="004509FF">
                <w:rPr>
                  <w:rStyle w:val="Hyperlink"/>
                  <w:sz w:val="20"/>
                  <w:szCs w:val="20"/>
                </w:rPr>
                <w:t>TEAP Observances document</w:t>
              </w:r>
            </w:hyperlink>
            <w:r w:rsidRPr="004509FF">
              <w:rPr>
                <w:sz w:val="20"/>
                <w:szCs w:val="20"/>
              </w:rPr>
              <w:t xml:space="preserve"> for online resources</w:t>
            </w:r>
            <w:r w:rsidR="006527AA" w:rsidRPr="004509FF">
              <w:rPr>
                <w:sz w:val="20"/>
                <w:szCs w:val="20"/>
              </w:rPr>
              <w:t>.</w:t>
            </w:r>
          </w:p>
        </w:tc>
        <w:tc>
          <w:tcPr>
            <w:tcW w:w="1910" w:type="dxa"/>
          </w:tcPr>
          <w:p w14:paraId="53BE332A" w14:textId="2E2D9D20" w:rsidR="00A06663" w:rsidRPr="004509FF" w:rsidRDefault="00A06663" w:rsidP="00BE52A5">
            <w:pPr>
              <w:spacing w:afterLines="40" w:after="96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H&amp;W staff</w:t>
            </w:r>
          </w:p>
        </w:tc>
      </w:tr>
      <w:tr w:rsidR="00B1788C" w:rsidRPr="004509FF" w14:paraId="2547DDAB" w14:textId="77777777" w:rsidTr="54A27FBE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063473B7" w14:textId="1BAAD97C" w:rsidR="00B1788C" w:rsidRPr="004509FF" w:rsidRDefault="00B1788C" w:rsidP="00740926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4509FF">
              <w:rPr>
                <w:b/>
                <w:bCs/>
                <w:i/>
                <w:iCs/>
                <w:sz w:val="20"/>
                <w:szCs w:val="20"/>
              </w:rPr>
              <w:lastRenderedPageBreak/>
              <w:t>Frequency: As Needed</w:t>
            </w:r>
          </w:p>
        </w:tc>
      </w:tr>
      <w:tr w:rsidR="0064495C" w:rsidRPr="004509FF" w14:paraId="5206BE16" w14:textId="77777777" w:rsidTr="54A27FBE">
        <w:tc>
          <w:tcPr>
            <w:tcW w:w="2062" w:type="dxa"/>
          </w:tcPr>
          <w:p w14:paraId="2C47FCE4" w14:textId="1B0F2BD3" w:rsidR="0064495C" w:rsidRPr="004509FF" w:rsidRDefault="00B1788C" w:rsidP="00BE52A5">
            <w:pPr>
              <w:spacing w:afterLines="40" w:after="96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Presentations for CDP and CTP</w:t>
            </w:r>
          </w:p>
        </w:tc>
        <w:tc>
          <w:tcPr>
            <w:tcW w:w="8983" w:type="dxa"/>
          </w:tcPr>
          <w:p w14:paraId="5F919602" w14:textId="34BA5DF8" w:rsidR="0064495C" w:rsidRPr="004509FF" w:rsidRDefault="76042462" w:rsidP="00BE52A5">
            <w:pPr>
              <w:pStyle w:val="ListParagraph"/>
              <w:numPr>
                <w:ilvl w:val="0"/>
                <w:numId w:val="20"/>
              </w:numPr>
              <w:spacing w:after="40"/>
              <w:ind w:left="360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M</w:t>
            </w:r>
            <w:r w:rsidR="00B1788C" w:rsidRPr="004509FF">
              <w:rPr>
                <w:sz w:val="20"/>
                <w:szCs w:val="20"/>
              </w:rPr>
              <w:t xml:space="preserve">eet with students in these phases to provide information about impact of drug use on employability (for CDP) and </w:t>
            </w:r>
            <w:r w:rsidR="002A18CB" w:rsidRPr="004509FF">
              <w:rPr>
                <w:sz w:val="20"/>
                <w:szCs w:val="20"/>
              </w:rPr>
              <w:t xml:space="preserve">resources available after </w:t>
            </w:r>
            <w:r w:rsidR="316C8F91" w:rsidRPr="004509FF">
              <w:rPr>
                <w:sz w:val="20"/>
                <w:szCs w:val="20"/>
              </w:rPr>
              <w:t xml:space="preserve">students </w:t>
            </w:r>
            <w:r w:rsidR="002A18CB" w:rsidRPr="004509FF">
              <w:rPr>
                <w:sz w:val="20"/>
                <w:szCs w:val="20"/>
              </w:rPr>
              <w:t>leave Job Corps (for CTP).</w:t>
            </w:r>
          </w:p>
          <w:p w14:paraId="60BD89D9" w14:textId="6604E5ED" w:rsidR="002A18CB" w:rsidRPr="004509FF" w:rsidRDefault="002A18CB" w:rsidP="00BE52A5">
            <w:pPr>
              <w:pStyle w:val="ListParagraph"/>
              <w:numPr>
                <w:ilvl w:val="0"/>
                <w:numId w:val="20"/>
              </w:numPr>
              <w:spacing w:after="40"/>
              <w:ind w:left="360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 xml:space="preserve">Utilize materials on the website for ideas for </w:t>
            </w:r>
            <w:hyperlink r:id="rId20" w:anchor="forms">
              <w:r w:rsidRPr="004509FF">
                <w:rPr>
                  <w:rStyle w:val="Hyperlink"/>
                  <w:sz w:val="20"/>
                  <w:szCs w:val="20"/>
                </w:rPr>
                <w:t>CDP</w:t>
              </w:r>
            </w:hyperlink>
            <w:r w:rsidRPr="004509FF">
              <w:rPr>
                <w:sz w:val="20"/>
                <w:szCs w:val="20"/>
              </w:rPr>
              <w:t xml:space="preserve"> and </w:t>
            </w:r>
            <w:hyperlink r:id="rId21" w:anchor="forms">
              <w:r w:rsidRPr="004509FF">
                <w:rPr>
                  <w:rStyle w:val="Hyperlink"/>
                  <w:sz w:val="20"/>
                  <w:szCs w:val="20"/>
                </w:rPr>
                <w:t>CTP</w:t>
              </w:r>
            </w:hyperlink>
            <w:r w:rsidRPr="004509FF">
              <w:rPr>
                <w:sz w:val="20"/>
                <w:szCs w:val="20"/>
              </w:rPr>
              <w:t xml:space="preserve"> presentations</w:t>
            </w:r>
            <w:r w:rsidR="2F4582A1" w:rsidRPr="004509FF">
              <w:rPr>
                <w:sz w:val="20"/>
                <w:szCs w:val="20"/>
              </w:rPr>
              <w:t>.</w:t>
            </w:r>
          </w:p>
        </w:tc>
        <w:tc>
          <w:tcPr>
            <w:tcW w:w="1910" w:type="dxa"/>
          </w:tcPr>
          <w:p w14:paraId="625E2D8F" w14:textId="11732EDF" w:rsidR="0064495C" w:rsidRPr="004509FF" w:rsidRDefault="56B1AC60" w:rsidP="00BE52A5">
            <w:pPr>
              <w:spacing w:afterLines="40" w:after="96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H&amp;W staff</w:t>
            </w:r>
          </w:p>
        </w:tc>
      </w:tr>
      <w:tr w:rsidR="76194175" w:rsidRPr="004509FF" w14:paraId="154A4B91" w14:textId="77777777" w:rsidTr="54A27FBE">
        <w:tc>
          <w:tcPr>
            <w:tcW w:w="2062" w:type="dxa"/>
          </w:tcPr>
          <w:p w14:paraId="1B278083" w14:textId="33859B9E" w:rsidR="76194175" w:rsidRPr="004509FF" w:rsidRDefault="76194175" w:rsidP="00BE52A5">
            <w:pPr>
              <w:pStyle w:val="ListParagraph"/>
              <w:spacing w:afterLines="40" w:after="96"/>
              <w:ind w:left="0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Medical Separation with Reinstatement Rights</w:t>
            </w:r>
          </w:p>
        </w:tc>
        <w:tc>
          <w:tcPr>
            <w:tcW w:w="8983" w:type="dxa"/>
          </w:tcPr>
          <w:p w14:paraId="2A41CD44" w14:textId="0D890C96" w:rsidR="76194175" w:rsidRPr="004509FF" w:rsidRDefault="76194175" w:rsidP="00BE52A5">
            <w:pPr>
              <w:pStyle w:val="ListParagraph"/>
              <w:numPr>
                <w:ilvl w:val="0"/>
                <w:numId w:val="1"/>
              </w:numPr>
              <w:spacing w:after="40"/>
              <w:ind w:left="360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 xml:space="preserve">Utilize the Center Physician/Nurse Practitioner/Physician Assistant in collaboration with the HWD. The CP/NP/PA must document the current symptoms and behaviors substantiating the MSWR, provide the diagnostic code, make the recommendation for MSWR, and complete the MSWR documentation.  </w:t>
            </w:r>
          </w:p>
          <w:p w14:paraId="68FFB2A1" w14:textId="19671571" w:rsidR="76194175" w:rsidRPr="004509FF" w:rsidRDefault="76194175" w:rsidP="00BE52A5">
            <w:pPr>
              <w:pStyle w:val="ListParagraph"/>
              <w:numPr>
                <w:ilvl w:val="0"/>
                <w:numId w:val="1"/>
              </w:numPr>
              <w:spacing w:after="40"/>
              <w:ind w:left="360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 xml:space="preserve">Contact the student’s outside treating provider, if applicable, for a recommendation of MSWR and diagnostic information. </w:t>
            </w:r>
            <w:r w:rsidR="6ADEABC8" w:rsidRPr="004509FF">
              <w:rPr>
                <w:sz w:val="20"/>
                <w:szCs w:val="20"/>
              </w:rPr>
              <w:t>Health and w</w:t>
            </w:r>
            <w:r w:rsidRPr="004509FF">
              <w:rPr>
                <w:sz w:val="20"/>
                <w:szCs w:val="20"/>
              </w:rPr>
              <w:t>ellness staff must complete the MSWR documentation, noting the information from the outside provider.</w:t>
            </w:r>
          </w:p>
        </w:tc>
        <w:tc>
          <w:tcPr>
            <w:tcW w:w="1910" w:type="dxa"/>
          </w:tcPr>
          <w:p w14:paraId="06E56990" w14:textId="0F64ADEA" w:rsidR="76194175" w:rsidRPr="004509FF" w:rsidRDefault="76194175" w:rsidP="00BE52A5">
            <w:pPr>
              <w:spacing w:afterLines="40" w:after="96"/>
              <w:rPr>
                <w:sz w:val="20"/>
                <w:szCs w:val="20"/>
              </w:rPr>
            </w:pPr>
            <w:r w:rsidRPr="004509FF">
              <w:rPr>
                <w:sz w:val="20"/>
                <w:szCs w:val="20"/>
              </w:rPr>
              <w:t>H&amp;W staff</w:t>
            </w:r>
          </w:p>
        </w:tc>
      </w:tr>
      <w:bookmarkEnd w:id="0"/>
    </w:tbl>
    <w:p w14:paraId="73C39A64" w14:textId="77777777" w:rsidR="00F52D2C" w:rsidRDefault="00F52D2C"/>
    <w:sectPr w:rsidR="00F52D2C" w:rsidSect="005372AA">
      <w:headerReference w:type="default" r:id="rId22"/>
      <w:footerReference w:type="default" r:id="rId23"/>
      <w:footerReference w:type="first" r:id="rId24"/>
      <w:pgSz w:w="15840" w:h="12240" w:orient="landscape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75A3" w14:textId="77777777" w:rsidR="005372AA" w:rsidRDefault="005372AA" w:rsidP="00772ACF">
      <w:pPr>
        <w:spacing w:after="0"/>
      </w:pPr>
      <w:r>
        <w:separator/>
      </w:r>
    </w:p>
  </w:endnote>
  <w:endnote w:type="continuationSeparator" w:id="0">
    <w:p w14:paraId="1F531EB7" w14:textId="77777777" w:rsidR="005372AA" w:rsidRDefault="005372AA" w:rsidP="00772ACF">
      <w:pPr>
        <w:spacing w:after="0"/>
      </w:pPr>
      <w:r>
        <w:continuationSeparator/>
      </w:r>
    </w:p>
  </w:endnote>
  <w:endnote w:type="continuationNotice" w:id="1">
    <w:p w14:paraId="46B8A34D" w14:textId="77777777" w:rsidR="005372AA" w:rsidRDefault="005372A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8DF1" w14:textId="45E24205" w:rsidR="0040741C" w:rsidRPr="0040741C" w:rsidRDefault="002213AD" w:rsidP="00350EAE">
    <w:pPr>
      <w:pStyle w:val="Footer"/>
      <w:pBdr>
        <w:top w:val="single" w:sz="4" w:space="1" w:color="auto"/>
      </w:pBdr>
      <w:tabs>
        <w:tab w:val="clear" w:pos="9360"/>
        <w:tab w:val="right" w:pos="12960"/>
      </w:tabs>
      <w:rPr>
        <w:sz w:val="20"/>
        <w:szCs w:val="20"/>
      </w:rPr>
    </w:pPr>
    <w:r>
      <w:rPr>
        <w:sz w:val="20"/>
        <w:szCs w:val="20"/>
      </w:rPr>
      <w:t>April 2024</w:t>
    </w:r>
    <w:r w:rsidR="0040741C" w:rsidRPr="00BE3C1E">
      <w:rPr>
        <w:sz w:val="20"/>
        <w:szCs w:val="20"/>
      </w:rPr>
      <w:tab/>
    </w:r>
    <w:r w:rsidR="0040741C" w:rsidRPr="00BE3C1E">
      <w:rPr>
        <w:sz w:val="20"/>
        <w:szCs w:val="20"/>
      </w:rPr>
      <w:tab/>
      <w:t xml:space="preserve">Page </w:t>
    </w:r>
    <w:r w:rsidR="0040741C" w:rsidRPr="00BE3C1E">
      <w:rPr>
        <w:bCs/>
        <w:sz w:val="20"/>
        <w:szCs w:val="20"/>
      </w:rPr>
      <w:fldChar w:fldCharType="begin"/>
    </w:r>
    <w:r w:rsidR="0040741C" w:rsidRPr="00BE3C1E">
      <w:rPr>
        <w:bCs/>
        <w:sz w:val="20"/>
        <w:szCs w:val="20"/>
      </w:rPr>
      <w:instrText xml:space="preserve"> PAGE  \* Arabic  \* MERGEFORMAT </w:instrText>
    </w:r>
    <w:r w:rsidR="0040741C" w:rsidRPr="00BE3C1E">
      <w:rPr>
        <w:bCs/>
        <w:sz w:val="20"/>
        <w:szCs w:val="20"/>
      </w:rPr>
      <w:fldChar w:fldCharType="separate"/>
    </w:r>
    <w:r w:rsidR="0040741C">
      <w:rPr>
        <w:bCs/>
        <w:sz w:val="20"/>
        <w:szCs w:val="20"/>
      </w:rPr>
      <w:t>1</w:t>
    </w:r>
    <w:r w:rsidR="0040741C" w:rsidRPr="00BE3C1E">
      <w:rPr>
        <w:bCs/>
        <w:sz w:val="20"/>
        <w:szCs w:val="20"/>
      </w:rPr>
      <w:fldChar w:fldCharType="end"/>
    </w:r>
    <w:r w:rsidR="0040741C" w:rsidRPr="00BE3C1E">
      <w:rPr>
        <w:sz w:val="20"/>
        <w:szCs w:val="20"/>
      </w:rPr>
      <w:t xml:space="preserve"> of </w:t>
    </w:r>
    <w:r w:rsidR="0040741C" w:rsidRPr="00BE3C1E">
      <w:rPr>
        <w:bCs/>
        <w:sz w:val="20"/>
        <w:szCs w:val="20"/>
      </w:rPr>
      <w:fldChar w:fldCharType="begin"/>
    </w:r>
    <w:r w:rsidR="0040741C" w:rsidRPr="00BE3C1E">
      <w:rPr>
        <w:bCs/>
        <w:sz w:val="20"/>
        <w:szCs w:val="20"/>
      </w:rPr>
      <w:instrText xml:space="preserve"> NUMPAGES  \* Arabic  \* MERGEFORMAT </w:instrText>
    </w:r>
    <w:r w:rsidR="0040741C" w:rsidRPr="00BE3C1E">
      <w:rPr>
        <w:bCs/>
        <w:sz w:val="20"/>
        <w:szCs w:val="20"/>
      </w:rPr>
      <w:fldChar w:fldCharType="separate"/>
    </w:r>
    <w:r w:rsidR="0040741C">
      <w:rPr>
        <w:bCs/>
        <w:sz w:val="20"/>
        <w:szCs w:val="20"/>
      </w:rPr>
      <w:t>2</w:t>
    </w:r>
    <w:r w:rsidR="0040741C" w:rsidRPr="00BE3C1E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EC19" w14:textId="4C985B28" w:rsidR="000809ED" w:rsidRPr="006705BD" w:rsidRDefault="002213AD" w:rsidP="00B33BC4">
    <w:pPr>
      <w:pStyle w:val="Footer"/>
      <w:pBdr>
        <w:top w:val="single" w:sz="4" w:space="1" w:color="auto"/>
      </w:pBdr>
      <w:tabs>
        <w:tab w:val="clear" w:pos="9360"/>
        <w:tab w:val="right" w:pos="12960"/>
      </w:tabs>
      <w:rPr>
        <w:sz w:val="20"/>
        <w:szCs w:val="20"/>
      </w:rPr>
    </w:pPr>
    <w:r>
      <w:rPr>
        <w:sz w:val="20"/>
        <w:szCs w:val="20"/>
      </w:rPr>
      <w:t>April</w:t>
    </w:r>
    <w:r w:rsidR="00B1788C">
      <w:rPr>
        <w:sz w:val="20"/>
        <w:szCs w:val="20"/>
      </w:rPr>
      <w:t xml:space="preserve"> 2024</w:t>
    </w:r>
    <w:r w:rsidR="003A50BD">
      <w:tab/>
    </w:r>
    <w:r w:rsidR="003A50BD">
      <w:tab/>
    </w:r>
    <w:r w:rsidR="30E52472" w:rsidRPr="30E52472">
      <w:rPr>
        <w:sz w:val="20"/>
        <w:szCs w:val="20"/>
      </w:rPr>
      <w:t xml:space="preserve">Page </w:t>
    </w:r>
    <w:r w:rsidR="003A50BD" w:rsidRPr="30E52472">
      <w:rPr>
        <w:sz w:val="20"/>
        <w:szCs w:val="20"/>
      </w:rPr>
      <w:fldChar w:fldCharType="begin"/>
    </w:r>
    <w:r w:rsidR="003A50BD" w:rsidRPr="30E52472">
      <w:rPr>
        <w:sz w:val="20"/>
        <w:szCs w:val="20"/>
      </w:rPr>
      <w:instrText xml:space="preserve"> PAGE  \* Arabic  \* MERGEFORMAT </w:instrText>
    </w:r>
    <w:r w:rsidR="003A50BD" w:rsidRPr="30E52472">
      <w:rPr>
        <w:sz w:val="20"/>
        <w:szCs w:val="20"/>
      </w:rPr>
      <w:fldChar w:fldCharType="separate"/>
    </w:r>
    <w:r w:rsidR="30E52472" w:rsidRPr="30E52472">
      <w:rPr>
        <w:sz w:val="20"/>
        <w:szCs w:val="20"/>
      </w:rPr>
      <w:t>1</w:t>
    </w:r>
    <w:r w:rsidR="003A50BD" w:rsidRPr="30E52472">
      <w:rPr>
        <w:sz w:val="20"/>
        <w:szCs w:val="20"/>
      </w:rPr>
      <w:fldChar w:fldCharType="end"/>
    </w:r>
    <w:r w:rsidR="30E52472" w:rsidRPr="30E52472">
      <w:rPr>
        <w:sz w:val="20"/>
        <w:szCs w:val="20"/>
      </w:rPr>
      <w:t xml:space="preserve"> of </w:t>
    </w:r>
    <w:r w:rsidR="003A50BD" w:rsidRPr="30E52472">
      <w:rPr>
        <w:sz w:val="20"/>
        <w:szCs w:val="20"/>
      </w:rPr>
      <w:fldChar w:fldCharType="begin"/>
    </w:r>
    <w:r w:rsidR="003A50BD" w:rsidRPr="30E52472">
      <w:rPr>
        <w:sz w:val="20"/>
        <w:szCs w:val="20"/>
      </w:rPr>
      <w:instrText xml:space="preserve"> NUMPAGES  \* Arabic  \* MERGEFORMAT </w:instrText>
    </w:r>
    <w:r w:rsidR="003A50BD" w:rsidRPr="30E52472">
      <w:rPr>
        <w:sz w:val="20"/>
        <w:szCs w:val="20"/>
      </w:rPr>
      <w:fldChar w:fldCharType="separate"/>
    </w:r>
    <w:r w:rsidR="30E52472" w:rsidRPr="30E52472">
      <w:rPr>
        <w:sz w:val="20"/>
        <w:szCs w:val="20"/>
      </w:rPr>
      <w:t>2</w:t>
    </w:r>
    <w:r w:rsidR="003A50BD" w:rsidRPr="30E5247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7600" w14:textId="77777777" w:rsidR="005372AA" w:rsidRDefault="005372AA" w:rsidP="00772ACF">
      <w:pPr>
        <w:spacing w:after="0"/>
      </w:pPr>
      <w:r>
        <w:separator/>
      </w:r>
    </w:p>
  </w:footnote>
  <w:footnote w:type="continuationSeparator" w:id="0">
    <w:p w14:paraId="7094A6EB" w14:textId="77777777" w:rsidR="005372AA" w:rsidRDefault="005372AA" w:rsidP="00772ACF">
      <w:pPr>
        <w:spacing w:after="0"/>
      </w:pPr>
      <w:r>
        <w:continuationSeparator/>
      </w:r>
    </w:p>
  </w:footnote>
  <w:footnote w:type="continuationNotice" w:id="1">
    <w:p w14:paraId="1D551559" w14:textId="77777777" w:rsidR="005372AA" w:rsidRDefault="005372A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9847" w14:textId="0CAC7A16" w:rsidR="000809ED" w:rsidRDefault="30E52472" w:rsidP="002213AD">
    <w:pPr>
      <w:pBdr>
        <w:bottom w:val="single" w:sz="4" w:space="1" w:color="auto"/>
      </w:pBdr>
    </w:pPr>
    <w:r w:rsidRPr="30E52472">
      <w:rPr>
        <w:sz w:val="20"/>
        <w:szCs w:val="20"/>
      </w:rPr>
      <w:t xml:space="preserve">Temporarily without a </w:t>
    </w:r>
    <w:r w:rsidR="0064495C">
      <w:rPr>
        <w:sz w:val="20"/>
        <w:szCs w:val="20"/>
      </w:rPr>
      <w:t>TEAP specialist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DC9"/>
    <w:multiLevelType w:val="hybridMultilevel"/>
    <w:tmpl w:val="01CA17B6"/>
    <w:lvl w:ilvl="0" w:tplc="DA06976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24C9"/>
    <w:multiLevelType w:val="hybridMultilevel"/>
    <w:tmpl w:val="EEDA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BAB"/>
    <w:multiLevelType w:val="hybridMultilevel"/>
    <w:tmpl w:val="438A9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3494"/>
    <w:multiLevelType w:val="hybridMultilevel"/>
    <w:tmpl w:val="DE8E6BC2"/>
    <w:lvl w:ilvl="0" w:tplc="21E4791A">
      <w:start w:val="1"/>
      <w:numFmt w:val="decimal"/>
      <w:lvlText w:val="%1.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C2691"/>
    <w:multiLevelType w:val="hybridMultilevel"/>
    <w:tmpl w:val="A47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D6308"/>
    <w:multiLevelType w:val="hybridMultilevel"/>
    <w:tmpl w:val="C676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104FE"/>
    <w:multiLevelType w:val="hybridMultilevel"/>
    <w:tmpl w:val="7DA0FFB4"/>
    <w:lvl w:ilvl="0" w:tplc="51FE08D8">
      <w:start w:val="1"/>
      <w:numFmt w:val="lowerLetter"/>
      <w:lvlText w:val="%1."/>
      <w:lvlJc w:val="left"/>
      <w:pPr>
        <w:ind w:left="279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0447F3"/>
    <w:multiLevelType w:val="hybridMultilevel"/>
    <w:tmpl w:val="D63C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B820F"/>
    <w:multiLevelType w:val="hybridMultilevel"/>
    <w:tmpl w:val="FFFFFFFF"/>
    <w:lvl w:ilvl="0" w:tplc="36B4F552">
      <w:start w:val="1"/>
      <w:numFmt w:val="decimal"/>
      <w:lvlText w:val="%1."/>
      <w:lvlJc w:val="left"/>
      <w:pPr>
        <w:ind w:left="720" w:hanging="360"/>
      </w:pPr>
    </w:lvl>
    <w:lvl w:ilvl="1" w:tplc="14CAF23C">
      <w:start w:val="1"/>
      <w:numFmt w:val="lowerLetter"/>
      <w:lvlText w:val="%2."/>
      <w:lvlJc w:val="left"/>
      <w:pPr>
        <w:ind w:left="1440" w:hanging="360"/>
      </w:pPr>
    </w:lvl>
    <w:lvl w:ilvl="2" w:tplc="A6663E6E">
      <w:start w:val="1"/>
      <w:numFmt w:val="lowerRoman"/>
      <w:lvlText w:val="%3."/>
      <w:lvlJc w:val="right"/>
      <w:pPr>
        <w:ind w:left="2160" w:hanging="180"/>
      </w:pPr>
    </w:lvl>
    <w:lvl w:ilvl="3" w:tplc="8C74C198">
      <w:start w:val="1"/>
      <w:numFmt w:val="decimal"/>
      <w:lvlText w:val="%4."/>
      <w:lvlJc w:val="left"/>
      <w:pPr>
        <w:ind w:left="2880" w:hanging="360"/>
      </w:pPr>
    </w:lvl>
    <w:lvl w:ilvl="4" w:tplc="576AD2F8">
      <w:start w:val="1"/>
      <w:numFmt w:val="lowerLetter"/>
      <w:lvlText w:val="%5."/>
      <w:lvlJc w:val="left"/>
      <w:pPr>
        <w:ind w:left="3600" w:hanging="360"/>
      </w:pPr>
    </w:lvl>
    <w:lvl w:ilvl="5" w:tplc="1D30341C">
      <w:start w:val="1"/>
      <w:numFmt w:val="lowerRoman"/>
      <w:lvlText w:val="%6."/>
      <w:lvlJc w:val="right"/>
      <w:pPr>
        <w:ind w:left="4320" w:hanging="180"/>
      </w:pPr>
    </w:lvl>
    <w:lvl w:ilvl="6" w:tplc="8916892A">
      <w:start w:val="1"/>
      <w:numFmt w:val="decimal"/>
      <w:lvlText w:val="%7."/>
      <w:lvlJc w:val="left"/>
      <w:pPr>
        <w:ind w:left="5040" w:hanging="360"/>
      </w:pPr>
    </w:lvl>
    <w:lvl w:ilvl="7" w:tplc="AE3A6C7C">
      <w:start w:val="1"/>
      <w:numFmt w:val="lowerLetter"/>
      <w:lvlText w:val="%8."/>
      <w:lvlJc w:val="left"/>
      <w:pPr>
        <w:ind w:left="5760" w:hanging="360"/>
      </w:pPr>
    </w:lvl>
    <w:lvl w:ilvl="8" w:tplc="480A320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33E97"/>
    <w:multiLevelType w:val="hybridMultilevel"/>
    <w:tmpl w:val="F586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05CCD"/>
    <w:multiLevelType w:val="hybridMultilevel"/>
    <w:tmpl w:val="0102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52CB4"/>
    <w:multiLevelType w:val="hybridMultilevel"/>
    <w:tmpl w:val="9C6686EC"/>
    <w:lvl w:ilvl="0" w:tplc="A9F0D1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E44D8"/>
    <w:multiLevelType w:val="hybridMultilevel"/>
    <w:tmpl w:val="AAA2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05F6D"/>
    <w:multiLevelType w:val="hybridMultilevel"/>
    <w:tmpl w:val="5FF49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785031"/>
    <w:multiLevelType w:val="hybridMultilevel"/>
    <w:tmpl w:val="6C8E0E1A"/>
    <w:lvl w:ilvl="0" w:tplc="7FAE9EEC">
      <w:start w:val="1"/>
      <w:numFmt w:val="lowerLetter"/>
      <w:lvlText w:val="%1.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56D7B"/>
    <w:multiLevelType w:val="multilevel"/>
    <w:tmpl w:val="8AC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1B29E"/>
    <w:multiLevelType w:val="hybridMultilevel"/>
    <w:tmpl w:val="351268E8"/>
    <w:lvl w:ilvl="0" w:tplc="21E4791A">
      <w:start w:val="1"/>
      <w:numFmt w:val="decimal"/>
      <w:lvlText w:val="%1.)"/>
      <w:lvlJc w:val="left"/>
      <w:pPr>
        <w:ind w:left="1440" w:hanging="360"/>
      </w:pPr>
    </w:lvl>
    <w:lvl w:ilvl="1" w:tplc="76DEA940">
      <w:start w:val="1"/>
      <w:numFmt w:val="lowerLetter"/>
      <w:lvlText w:val="%2."/>
      <w:lvlJc w:val="left"/>
      <w:pPr>
        <w:ind w:left="2160" w:hanging="360"/>
      </w:pPr>
    </w:lvl>
    <w:lvl w:ilvl="2" w:tplc="70F860A0">
      <w:start w:val="1"/>
      <w:numFmt w:val="lowerRoman"/>
      <w:lvlText w:val="%3."/>
      <w:lvlJc w:val="right"/>
      <w:pPr>
        <w:ind w:left="2880" w:hanging="180"/>
      </w:pPr>
    </w:lvl>
    <w:lvl w:ilvl="3" w:tplc="62C6BFDA">
      <w:start w:val="1"/>
      <w:numFmt w:val="decimal"/>
      <w:lvlText w:val="%4."/>
      <w:lvlJc w:val="left"/>
      <w:pPr>
        <w:ind w:left="3600" w:hanging="360"/>
      </w:pPr>
    </w:lvl>
    <w:lvl w:ilvl="4" w:tplc="98580628">
      <w:start w:val="1"/>
      <w:numFmt w:val="lowerLetter"/>
      <w:lvlText w:val="%5."/>
      <w:lvlJc w:val="left"/>
      <w:pPr>
        <w:ind w:left="4320" w:hanging="360"/>
      </w:pPr>
    </w:lvl>
    <w:lvl w:ilvl="5" w:tplc="93A2233C">
      <w:start w:val="1"/>
      <w:numFmt w:val="lowerRoman"/>
      <w:lvlText w:val="%6."/>
      <w:lvlJc w:val="right"/>
      <w:pPr>
        <w:ind w:left="5040" w:hanging="180"/>
      </w:pPr>
    </w:lvl>
    <w:lvl w:ilvl="6" w:tplc="40F2F018">
      <w:start w:val="1"/>
      <w:numFmt w:val="decimal"/>
      <w:lvlText w:val="%7."/>
      <w:lvlJc w:val="left"/>
      <w:pPr>
        <w:ind w:left="5760" w:hanging="360"/>
      </w:pPr>
    </w:lvl>
    <w:lvl w:ilvl="7" w:tplc="4E22E6BC">
      <w:start w:val="1"/>
      <w:numFmt w:val="lowerLetter"/>
      <w:lvlText w:val="%8."/>
      <w:lvlJc w:val="left"/>
      <w:pPr>
        <w:ind w:left="6480" w:hanging="360"/>
      </w:pPr>
    </w:lvl>
    <w:lvl w:ilvl="8" w:tplc="557AABBA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BB2481"/>
    <w:multiLevelType w:val="hybridMultilevel"/>
    <w:tmpl w:val="D6C60A4C"/>
    <w:lvl w:ilvl="0" w:tplc="549A1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C9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4AE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A0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80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A8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2F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CF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0D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D1595"/>
    <w:multiLevelType w:val="hybridMultilevel"/>
    <w:tmpl w:val="176CDE22"/>
    <w:lvl w:ilvl="0" w:tplc="5C6C29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7FAE9EEC">
      <w:start w:val="1"/>
      <w:numFmt w:val="lowerLetter"/>
      <w:lvlText w:val="%2."/>
      <w:lvlJc w:val="left"/>
      <w:pPr>
        <w:ind w:left="108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67A4D"/>
    <w:multiLevelType w:val="hybridMultilevel"/>
    <w:tmpl w:val="4C02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00D59"/>
    <w:multiLevelType w:val="hybridMultilevel"/>
    <w:tmpl w:val="7DA6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B104B"/>
    <w:multiLevelType w:val="hybridMultilevel"/>
    <w:tmpl w:val="893C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31B36"/>
    <w:multiLevelType w:val="hybridMultilevel"/>
    <w:tmpl w:val="4FAE2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80BCA7"/>
    <w:multiLevelType w:val="hybridMultilevel"/>
    <w:tmpl w:val="68C02704"/>
    <w:lvl w:ilvl="0" w:tplc="293AF2DC">
      <w:start w:val="1"/>
      <w:numFmt w:val="decimal"/>
      <w:lvlText w:val="%1.)"/>
      <w:lvlJc w:val="left"/>
      <w:pPr>
        <w:ind w:left="720" w:hanging="360"/>
      </w:pPr>
    </w:lvl>
    <w:lvl w:ilvl="1" w:tplc="79900F30">
      <w:start w:val="1"/>
      <w:numFmt w:val="lowerLetter"/>
      <w:lvlText w:val="%2."/>
      <w:lvlJc w:val="left"/>
      <w:pPr>
        <w:ind w:left="1440" w:hanging="360"/>
      </w:pPr>
    </w:lvl>
    <w:lvl w:ilvl="2" w:tplc="E568819C">
      <w:start w:val="1"/>
      <w:numFmt w:val="lowerRoman"/>
      <w:lvlText w:val="%3."/>
      <w:lvlJc w:val="right"/>
      <w:pPr>
        <w:ind w:left="2160" w:hanging="180"/>
      </w:pPr>
    </w:lvl>
    <w:lvl w:ilvl="3" w:tplc="B83EC322">
      <w:start w:val="1"/>
      <w:numFmt w:val="decimal"/>
      <w:lvlText w:val="%4."/>
      <w:lvlJc w:val="left"/>
      <w:pPr>
        <w:ind w:left="2880" w:hanging="360"/>
      </w:pPr>
    </w:lvl>
    <w:lvl w:ilvl="4" w:tplc="8C8C6710">
      <w:start w:val="1"/>
      <w:numFmt w:val="lowerLetter"/>
      <w:lvlText w:val="%5."/>
      <w:lvlJc w:val="left"/>
      <w:pPr>
        <w:ind w:left="3600" w:hanging="360"/>
      </w:pPr>
    </w:lvl>
    <w:lvl w:ilvl="5" w:tplc="48425DFE">
      <w:start w:val="1"/>
      <w:numFmt w:val="lowerRoman"/>
      <w:lvlText w:val="%6."/>
      <w:lvlJc w:val="right"/>
      <w:pPr>
        <w:ind w:left="4320" w:hanging="180"/>
      </w:pPr>
    </w:lvl>
    <w:lvl w:ilvl="6" w:tplc="5CDCD498">
      <w:start w:val="1"/>
      <w:numFmt w:val="decimal"/>
      <w:lvlText w:val="%7."/>
      <w:lvlJc w:val="left"/>
      <w:pPr>
        <w:ind w:left="5040" w:hanging="360"/>
      </w:pPr>
    </w:lvl>
    <w:lvl w:ilvl="7" w:tplc="4458626E">
      <w:start w:val="1"/>
      <w:numFmt w:val="lowerLetter"/>
      <w:lvlText w:val="%8."/>
      <w:lvlJc w:val="left"/>
      <w:pPr>
        <w:ind w:left="5760" w:hanging="360"/>
      </w:pPr>
    </w:lvl>
    <w:lvl w:ilvl="8" w:tplc="6C6028C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27B9F"/>
    <w:multiLevelType w:val="hybridMultilevel"/>
    <w:tmpl w:val="7DA0FFB4"/>
    <w:lvl w:ilvl="0" w:tplc="FFFFFFFF">
      <w:start w:val="1"/>
      <w:numFmt w:val="lowerLetter"/>
      <w:lvlText w:val="%1."/>
      <w:lvlJc w:val="left"/>
      <w:pPr>
        <w:ind w:left="279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2A7EA6"/>
    <w:multiLevelType w:val="hybridMultilevel"/>
    <w:tmpl w:val="D73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B777A"/>
    <w:multiLevelType w:val="hybridMultilevel"/>
    <w:tmpl w:val="88F6E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2C0EEF"/>
    <w:multiLevelType w:val="hybridMultilevel"/>
    <w:tmpl w:val="139C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40EE4"/>
    <w:multiLevelType w:val="hybridMultilevel"/>
    <w:tmpl w:val="08480BAA"/>
    <w:lvl w:ilvl="0" w:tplc="5C6C29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424C8"/>
    <w:multiLevelType w:val="hybridMultilevel"/>
    <w:tmpl w:val="471678BA"/>
    <w:lvl w:ilvl="0" w:tplc="E8C21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29E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56B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45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E0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ED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67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80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388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3491B"/>
    <w:multiLevelType w:val="hybridMultilevel"/>
    <w:tmpl w:val="97589C2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97479E"/>
    <w:multiLevelType w:val="hybridMultilevel"/>
    <w:tmpl w:val="7DA0FFB4"/>
    <w:lvl w:ilvl="0" w:tplc="FFFFFFFF">
      <w:start w:val="1"/>
      <w:numFmt w:val="lowerLetter"/>
      <w:lvlText w:val="%1."/>
      <w:lvlJc w:val="left"/>
      <w:pPr>
        <w:ind w:left="279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num w:numId="1" w16cid:durableId="350882159">
    <w:abstractNumId w:val="17"/>
  </w:num>
  <w:num w:numId="2" w16cid:durableId="784885694">
    <w:abstractNumId w:val="29"/>
  </w:num>
  <w:num w:numId="3" w16cid:durableId="728530940">
    <w:abstractNumId w:val="16"/>
  </w:num>
  <w:num w:numId="4" w16cid:durableId="212934367">
    <w:abstractNumId w:val="23"/>
  </w:num>
  <w:num w:numId="5" w16cid:durableId="678434187">
    <w:abstractNumId w:val="9"/>
  </w:num>
  <w:num w:numId="6" w16cid:durableId="725837094">
    <w:abstractNumId w:val="25"/>
  </w:num>
  <w:num w:numId="7" w16cid:durableId="1942568818">
    <w:abstractNumId w:val="21"/>
  </w:num>
  <w:num w:numId="8" w16cid:durableId="1414664675">
    <w:abstractNumId w:val="4"/>
  </w:num>
  <w:num w:numId="9" w16cid:durableId="1145466885">
    <w:abstractNumId w:val="18"/>
  </w:num>
  <w:num w:numId="10" w16cid:durableId="2030445947">
    <w:abstractNumId w:val="2"/>
  </w:num>
  <w:num w:numId="11" w16cid:durableId="1154682640">
    <w:abstractNumId w:val="3"/>
  </w:num>
  <w:num w:numId="12" w16cid:durableId="1716464479">
    <w:abstractNumId w:val="0"/>
  </w:num>
  <w:num w:numId="13" w16cid:durableId="727457215">
    <w:abstractNumId w:val="6"/>
  </w:num>
  <w:num w:numId="14" w16cid:durableId="120615468">
    <w:abstractNumId w:val="11"/>
  </w:num>
  <w:num w:numId="15" w16cid:durableId="205803911">
    <w:abstractNumId w:val="28"/>
  </w:num>
  <w:num w:numId="16" w16cid:durableId="1820263451">
    <w:abstractNumId w:val="14"/>
  </w:num>
  <w:num w:numId="17" w16cid:durableId="1210343953">
    <w:abstractNumId w:val="24"/>
  </w:num>
  <w:num w:numId="18" w16cid:durableId="1266425411">
    <w:abstractNumId w:val="31"/>
  </w:num>
  <w:num w:numId="19" w16cid:durableId="30963499">
    <w:abstractNumId w:val="1"/>
  </w:num>
  <w:num w:numId="20" w16cid:durableId="797064818">
    <w:abstractNumId w:val="19"/>
  </w:num>
  <w:num w:numId="21" w16cid:durableId="1455714023">
    <w:abstractNumId w:val="26"/>
  </w:num>
  <w:num w:numId="22" w16cid:durableId="1086458295">
    <w:abstractNumId w:val="22"/>
  </w:num>
  <w:num w:numId="23" w16cid:durableId="150828567">
    <w:abstractNumId w:val="7"/>
  </w:num>
  <w:num w:numId="24" w16cid:durableId="905459915">
    <w:abstractNumId w:val="30"/>
  </w:num>
  <w:num w:numId="25" w16cid:durableId="296836613">
    <w:abstractNumId w:val="10"/>
  </w:num>
  <w:num w:numId="26" w16cid:durableId="1412001654">
    <w:abstractNumId w:val="13"/>
  </w:num>
  <w:num w:numId="27" w16cid:durableId="1743526985">
    <w:abstractNumId w:val="8"/>
  </w:num>
  <w:num w:numId="28" w16cid:durableId="89937064">
    <w:abstractNumId w:val="15"/>
  </w:num>
  <w:num w:numId="29" w16cid:durableId="1566842082">
    <w:abstractNumId w:val="20"/>
  </w:num>
  <w:num w:numId="30" w16cid:durableId="319429062">
    <w:abstractNumId w:val="27"/>
  </w:num>
  <w:num w:numId="31" w16cid:durableId="573857916">
    <w:abstractNumId w:val="12"/>
  </w:num>
  <w:num w:numId="32" w16cid:durableId="1853032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28"/>
    <w:rsid w:val="00000781"/>
    <w:rsid w:val="000014A9"/>
    <w:rsid w:val="0000367D"/>
    <w:rsid w:val="00012412"/>
    <w:rsid w:val="0001316E"/>
    <w:rsid w:val="00024CB1"/>
    <w:rsid w:val="00026C0C"/>
    <w:rsid w:val="000368B2"/>
    <w:rsid w:val="0005178E"/>
    <w:rsid w:val="00055F64"/>
    <w:rsid w:val="00056815"/>
    <w:rsid w:val="00060CB4"/>
    <w:rsid w:val="00065551"/>
    <w:rsid w:val="0006673A"/>
    <w:rsid w:val="00071FC2"/>
    <w:rsid w:val="00074D58"/>
    <w:rsid w:val="000809ED"/>
    <w:rsid w:val="00082DC9"/>
    <w:rsid w:val="00091532"/>
    <w:rsid w:val="0009575E"/>
    <w:rsid w:val="000A6BFE"/>
    <w:rsid w:val="000B42BA"/>
    <w:rsid w:val="000B7501"/>
    <w:rsid w:val="000C38A6"/>
    <w:rsid w:val="000D5592"/>
    <w:rsid w:val="000F54BD"/>
    <w:rsid w:val="000F6E9A"/>
    <w:rsid w:val="000F769C"/>
    <w:rsid w:val="000F7A73"/>
    <w:rsid w:val="001034D5"/>
    <w:rsid w:val="001043D0"/>
    <w:rsid w:val="00113456"/>
    <w:rsid w:val="00120AB0"/>
    <w:rsid w:val="001275FE"/>
    <w:rsid w:val="00131B91"/>
    <w:rsid w:val="0014001D"/>
    <w:rsid w:val="0015225F"/>
    <w:rsid w:val="0015576A"/>
    <w:rsid w:val="00164FC8"/>
    <w:rsid w:val="001757B9"/>
    <w:rsid w:val="00182AD9"/>
    <w:rsid w:val="0019087C"/>
    <w:rsid w:val="00194C2A"/>
    <w:rsid w:val="001A08B9"/>
    <w:rsid w:val="001A316A"/>
    <w:rsid w:val="001C0F09"/>
    <w:rsid w:val="001D3B50"/>
    <w:rsid w:val="001D7D6C"/>
    <w:rsid w:val="001E69C2"/>
    <w:rsid w:val="00200F5B"/>
    <w:rsid w:val="00201456"/>
    <w:rsid w:val="00201CD4"/>
    <w:rsid w:val="002213AD"/>
    <w:rsid w:val="0022481A"/>
    <w:rsid w:val="00235640"/>
    <w:rsid w:val="002358FC"/>
    <w:rsid w:val="00255268"/>
    <w:rsid w:val="00277657"/>
    <w:rsid w:val="00281C6D"/>
    <w:rsid w:val="0029343E"/>
    <w:rsid w:val="002A18CB"/>
    <w:rsid w:val="002B59E8"/>
    <w:rsid w:val="002C6FD4"/>
    <w:rsid w:val="002D1515"/>
    <w:rsid w:val="002E2193"/>
    <w:rsid w:val="002E3C3C"/>
    <w:rsid w:val="002E5745"/>
    <w:rsid w:val="002E7939"/>
    <w:rsid w:val="002F0C3D"/>
    <w:rsid w:val="002F2F4A"/>
    <w:rsid w:val="003054DB"/>
    <w:rsid w:val="00306A72"/>
    <w:rsid w:val="00313424"/>
    <w:rsid w:val="003150D3"/>
    <w:rsid w:val="00334A13"/>
    <w:rsid w:val="00334C5C"/>
    <w:rsid w:val="0033541E"/>
    <w:rsid w:val="00340A2A"/>
    <w:rsid w:val="00344583"/>
    <w:rsid w:val="00350EAE"/>
    <w:rsid w:val="00371232"/>
    <w:rsid w:val="00381F8B"/>
    <w:rsid w:val="003871F2"/>
    <w:rsid w:val="0039691D"/>
    <w:rsid w:val="003A46ED"/>
    <w:rsid w:val="003A50BD"/>
    <w:rsid w:val="003B0255"/>
    <w:rsid w:val="003B758E"/>
    <w:rsid w:val="003C268A"/>
    <w:rsid w:val="003D163C"/>
    <w:rsid w:val="003D4F10"/>
    <w:rsid w:val="003F10F2"/>
    <w:rsid w:val="004055E2"/>
    <w:rsid w:val="0040741C"/>
    <w:rsid w:val="00413B0F"/>
    <w:rsid w:val="00424339"/>
    <w:rsid w:val="00424B55"/>
    <w:rsid w:val="00433237"/>
    <w:rsid w:val="004469DE"/>
    <w:rsid w:val="004509FF"/>
    <w:rsid w:val="00451990"/>
    <w:rsid w:val="004557E3"/>
    <w:rsid w:val="004610C5"/>
    <w:rsid w:val="00472B23"/>
    <w:rsid w:val="00477C8C"/>
    <w:rsid w:val="0048291F"/>
    <w:rsid w:val="00483B83"/>
    <w:rsid w:val="00483D34"/>
    <w:rsid w:val="00492FE9"/>
    <w:rsid w:val="004B00AB"/>
    <w:rsid w:val="004B6EFB"/>
    <w:rsid w:val="004C47CE"/>
    <w:rsid w:val="004D6C00"/>
    <w:rsid w:val="004E1021"/>
    <w:rsid w:val="004F4D96"/>
    <w:rsid w:val="004F6C9B"/>
    <w:rsid w:val="00503F50"/>
    <w:rsid w:val="005064B3"/>
    <w:rsid w:val="00523CBA"/>
    <w:rsid w:val="00527635"/>
    <w:rsid w:val="005372AA"/>
    <w:rsid w:val="005373D8"/>
    <w:rsid w:val="005402AC"/>
    <w:rsid w:val="005438BC"/>
    <w:rsid w:val="00545372"/>
    <w:rsid w:val="00546815"/>
    <w:rsid w:val="00554074"/>
    <w:rsid w:val="0055428D"/>
    <w:rsid w:val="0056238F"/>
    <w:rsid w:val="005658C9"/>
    <w:rsid w:val="00570A20"/>
    <w:rsid w:val="00581D2A"/>
    <w:rsid w:val="00584AF3"/>
    <w:rsid w:val="00587CDC"/>
    <w:rsid w:val="0059421E"/>
    <w:rsid w:val="00595A82"/>
    <w:rsid w:val="005A05DD"/>
    <w:rsid w:val="005A094A"/>
    <w:rsid w:val="005A0C07"/>
    <w:rsid w:val="005A3EEC"/>
    <w:rsid w:val="005A5C07"/>
    <w:rsid w:val="005B48D0"/>
    <w:rsid w:val="005B7515"/>
    <w:rsid w:val="005C601E"/>
    <w:rsid w:val="005C78F3"/>
    <w:rsid w:val="005D1739"/>
    <w:rsid w:val="005D42E6"/>
    <w:rsid w:val="005D6B41"/>
    <w:rsid w:val="00601601"/>
    <w:rsid w:val="006104E7"/>
    <w:rsid w:val="0061362E"/>
    <w:rsid w:val="006138CB"/>
    <w:rsid w:val="00616350"/>
    <w:rsid w:val="00616FF8"/>
    <w:rsid w:val="00631CBD"/>
    <w:rsid w:val="00635B80"/>
    <w:rsid w:val="00635CD2"/>
    <w:rsid w:val="00636C55"/>
    <w:rsid w:val="006413C3"/>
    <w:rsid w:val="0064495C"/>
    <w:rsid w:val="00646828"/>
    <w:rsid w:val="006527AA"/>
    <w:rsid w:val="00656DC7"/>
    <w:rsid w:val="006705BD"/>
    <w:rsid w:val="006705DC"/>
    <w:rsid w:val="00673A2C"/>
    <w:rsid w:val="00674703"/>
    <w:rsid w:val="006774C5"/>
    <w:rsid w:val="006903DE"/>
    <w:rsid w:val="006B0992"/>
    <w:rsid w:val="006B35E9"/>
    <w:rsid w:val="006B4E04"/>
    <w:rsid w:val="006C10FA"/>
    <w:rsid w:val="006D15D5"/>
    <w:rsid w:val="006E3147"/>
    <w:rsid w:val="0070633B"/>
    <w:rsid w:val="0070635D"/>
    <w:rsid w:val="007105AA"/>
    <w:rsid w:val="00711C03"/>
    <w:rsid w:val="00713CF3"/>
    <w:rsid w:val="00731F6B"/>
    <w:rsid w:val="00740926"/>
    <w:rsid w:val="007410FC"/>
    <w:rsid w:val="00741417"/>
    <w:rsid w:val="00745782"/>
    <w:rsid w:val="0075276D"/>
    <w:rsid w:val="007579B7"/>
    <w:rsid w:val="007604BA"/>
    <w:rsid w:val="007616F0"/>
    <w:rsid w:val="0076174C"/>
    <w:rsid w:val="007625EC"/>
    <w:rsid w:val="0076751E"/>
    <w:rsid w:val="00767762"/>
    <w:rsid w:val="00772ACF"/>
    <w:rsid w:val="00783FCF"/>
    <w:rsid w:val="0079583C"/>
    <w:rsid w:val="00795911"/>
    <w:rsid w:val="007A0C50"/>
    <w:rsid w:val="007B7637"/>
    <w:rsid w:val="007C3824"/>
    <w:rsid w:val="007D219B"/>
    <w:rsid w:val="007D6FAE"/>
    <w:rsid w:val="007DE933"/>
    <w:rsid w:val="007E71A1"/>
    <w:rsid w:val="007F1C22"/>
    <w:rsid w:val="007F500F"/>
    <w:rsid w:val="00802004"/>
    <w:rsid w:val="00804B72"/>
    <w:rsid w:val="00807450"/>
    <w:rsid w:val="00832E48"/>
    <w:rsid w:val="00832F76"/>
    <w:rsid w:val="008368CC"/>
    <w:rsid w:val="0084058E"/>
    <w:rsid w:val="00873AC7"/>
    <w:rsid w:val="00881AD4"/>
    <w:rsid w:val="008837B8"/>
    <w:rsid w:val="00884DE5"/>
    <w:rsid w:val="00887A0E"/>
    <w:rsid w:val="008A0402"/>
    <w:rsid w:val="008B1827"/>
    <w:rsid w:val="008B30A5"/>
    <w:rsid w:val="008B6090"/>
    <w:rsid w:val="008C08D2"/>
    <w:rsid w:val="008C1170"/>
    <w:rsid w:val="008C16F1"/>
    <w:rsid w:val="008C369B"/>
    <w:rsid w:val="008C7FE1"/>
    <w:rsid w:val="008E567C"/>
    <w:rsid w:val="008F1F81"/>
    <w:rsid w:val="008F206F"/>
    <w:rsid w:val="008F25A0"/>
    <w:rsid w:val="008F2BF6"/>
    <w:rsid w:val="00901DDC"/>
    <w:rsid w:val="0090305B"/>
    <w:rsid w:val="00911464"/>
    <w:rsid w:val="009218EF"/>
    <w:rsid w:val="00930056"/>
    <w:rsid w:val="00934924"/>
    <w:rsid w:val="009374C4"/>
    <w:rsid w:val="009470A7"/>
    <w:rsid w:val="0095293E"/>
    <w:rsid w:val="009646B5"/>
    <w:rsid w:val="00970817"/>
    <w:rsid w:val="00975FDF"/>
    <w:rsid w:val="00985472"/>
    <w:rsid w:val="00991EA4"/>
    <w:rsid w:val="009C1B22"/>
    <w:rsid w:val="009D6B4F"/>
    <w:rsid w:val="009E3185"/>
    <w:rsid w:val="009E42D0"/>
    <w:rsid w:val="009F39BE"/>
    <w:rsid w:val="00A00F13"/>
    <w:rsid w:val="00A06663"/>
    <w:rsid w:val="00A06E0B"/>
    <w:rsid w:val="00A12D68"/>
    <w:rsid w:val="00A12F68"/>
    <w:rsid w:val="00A15ED9"/>
    <w:rsid w:val="00A24FE0"/>
    <w:rsid w:val="00A26AC9"/>
    <w:rsid w:val="00A30073"/>
    <w:rsid w:val="00A3285F"/>
    <w:rsid w:val="00A34FA1"/>
    <w:rsid w:val="00A607C1"/>
    <w:rsid w:val="00A70D9F"/>
    <w:rsid w:val="00A828B8"/>
    <w:rsid w:val="00A83025"/>
    <w:rsid w:val="00A84C15"/>
    <w:rsid w:val="00A858CA"/>
    <w:rsid w:val="00A97613"/>
    <w:rsid w:val="00AB00CC"/>
    <w:rsid w:val="00AB38FF"/>
    <w:rsid w:val="00AB6D4D"/>
    <w:rsid w:val="00AB72B2"/>
    <w:rsid w:val="00AD1D6D"/>
    <w:rsid w:val="00AD6B15"/>
    <w:rsid w:val="00AE0C8C"/>
    <w:rsid w:val="00AF4287"/>
    <w:rsid w:val="00AF5E14"/>
    <w:rsid w:val="00AF5FDF"/>
    <w:rsid w:val="00B00AEB"/>
    <w:rsid w:val="00B118A4"/>
    <w:rsid w:val="00B1711B"/>
    <w:rsid w:val="00B1788C"/>
    <w:rsid w:val="00B212AD"/>
    <w:rsid w:val="00B21456"/>
    <w:rsid w:val="00B26185"/>
    <w:rsid w:val="00B305C8"/>
    <w:rsid w:val="00B33BC4"/>
    <w:rsid w:val="00B4702F"/>
    <w:rsid w:val="00B6395A"/>
    <w:rsid w:val="00B8134A"/>
    <w:rsid w:val="00B830B3"/>
    <w:rsid w:val="00B9286A"/>
    <w:rsid w:val="00B92BC8"/>
    <w:rsid w:val="00B93028"/>
    <w:rsid w:val="00B94BAF"/>
    <w:rsid w:val="00BA202A"/>
    <w:rsid w:val="00BA44EB"/>
    <w:rsid w:val="00BA6661"/>
    <w:rsid w:val="00BA7A74"/>
    <w:rsid w:val="00BB0953"/>
    <w:rsid w:val="00BB309A"/>
    <w:rsid w:val="00BB37AF"/>
    <w:rsid w:val="00BB5B38"/>
    <w:rsid w:val="00BC1F1E"/>
    <w:rsid w:val="00BC4C01"/>
    <w:rsid w:val="00BD203D"/>
    <w:rsid w:val="00BD3DD5"/>
    <w:rsid w:val="00BE32C7"/>
    <w:rsid w:val="00BE52A5"/>
    <w:rsid w:val="00BF45C7"/>
    <w:rsid w:val="00C06175"/>
    <w:rsid w:val="00C21CF1"/>
    <w:rsid w:val="00C27468"/>
    <w:rsid w:val="00C35119"/>
    <w:rsid w:val="00C4162A"/>
    <w:rsid w:val="00C505C5"/>
    <w:rsid w:val="00C514B3"/>
    <w:rsid w:val="00C60658"/>
    <w:rsid w:val="00C66D98"/>
    <w:rsid w:val="00C72091"/>
    <w:rsid w:val="00C86649"/>
    <w:rsid w:val="00C94A74"/>
    <w:rsid w:val="00CA24B8"/>
    <w:rsid w:val="00CA2720"/>
    <w:rsid w:val="00CA4906"/>
    <w:rsid w:val="00CA6070"/>
    <w:rsid w:val="00CA7760"/>
    <w:rsid w:val="00CB43CE"/>
    <w:rsid w:val="00CD0617"/>
    <w:rsid w:val="00CD108B"/>
    <w:rsid w:val="00CF156C"/>
    <w:rsid w:val="00CF1FF7"/>
    <w:rsid w:val="00CF35D8"/>
    <w:rsid w:val="00CF6015"/>
    <w:rsid w:val="00CF7BB4"/>
    <w:rsid w:val="00D00AED"/>
    <w:rsid w:val="00D02D46"/>
    <w:rsid w:val="00D14337"/>
    <w:rsid w:val="00D16BA4"/>
    <w:rsid w:val="00D22DFB"/>
    <w:rsid w:val="00D24A8A"/>
    <w:rsid w:val="00D24E47"/>
    <w:rsid w:val="00D264F0"/>
    <w:rsid w:val="00D2726C"/>
    <w:rsid w:val="00D27F7C"/>
    <w:rsid w:val="00D3577E"/>
    <w:rsid w:val="00D42B4B"/>
    <w:rsid w:val="00D42D48"/>
    <w:rsid w:val="00D55088"/>
    <w:rsid w:val="00D638E5"/>
    <w:rsid w:val="00D654EC"/>
    <w:rsid w:val="00D86727"/>
    <w:rsid w:val="00DA38F6"/>
    <w:rsid w:val="00DA61CC"/>
    <w:rsid w:val="00DB1DA1"/>
    <w:rsid w:val="00DB1F61"/>
    <w:rsid w:val="00DB7F82"/>
    <w:rsid w:val="00DC0D63"/>
    <w:rsid w:val="00DC2044"/>
    <w:rsid w:val="00DE22AF"/>
    <w:rsid w:val="00DE5F77"/>
    <w:rsid w:val="00DE61C5"/>
    <w:rsid w:val="00DF55B0"/>
    <w:rsid w:val="00DF7908"/>
    <w:rsid w:val="00E01376"/>
    <w:rsid w:val="00E100D7"/>
    <w:rsid w:val="00E41A7B"/>
    <w:rsid w:val="00E44584"/>
    <w:rsid w:val="00E50556"/>
    <w:rsid w:val="00E52F50"/>
    <w:rsid w:val="00E57360"/>
    <w:rsid w:val="00E66721"/>
    <w:rsid w:val="00E7071C"/>
    <w:rsid w:val="00E83415"/>
    <w:rsid w:val="00E8514D"/>
    <w:rsid w:val="00EB079A"/>
    <w:rsid w:val="00ED1746"/>
    <w:rsid w:val="00EE02CA"/>
    <w:rsid w:val="00EE0A06"/>
    <w:rsid w:val="00EF1319"/>
    <w:rsid w:val="00EF3630"/>
    <w:rsid w:val="00EF4006"/>
    <w:rsid w:val="00F02FEC"/>
    <w:rsid w:val="00F03A36"/>
    <w:rsid w:val="00F0764F"/>
    <w:rsid w:val="00F07E82"/>
    <w:rsid w:val="00F12DD3"/>
    <w:rsid w:val="00F14BF6"/>
    <w:rsid w:val="00F201D5"/>
    <w:rsid w:val="00F35705"/>
    <w:rsid w:val="00F456B2"/>
    <w:rsid w:val="00F47D1A"/>
    <w:rsid w:val="00F5167D"/>
    <w:rsid w:val="00F52D2C"/>
    <w:rsid w:val="00F55FF6"/>
    <w:rsid w:val="00F61E70"/>
    <w:rsid w:val="00F63B5E"/>
    <w:rsid w:val="00F66E9A"/>
    <w:rsid w:val="00F6702D"/>
    <w:rsid w:val="00F67194"/>
    <w:rsid w:val="00F6760F"/>
    <w:rsid w:val="00F7258D"/>
    <w:rsid w:val="00F75A2C"/>
    <w:rsid w:val="00F7736F"/>
    <w:rsid w:val="00F8792F"/>
    <w:rsid w:val="00FA06AF"/>
    <w:rsid w:val="00FB27D9"/>
    <w:rsid w:val="00FB4F8D"/>
    <w:rsid w:val="00FB5549"/>
    <w:rsid w:val="00FB728D"/>
    <w:rsid w:val="00FC743E"/>
    <w:rsid w:val="00FD6519"/>
    <w:rsid w:val="00FE1FA5"/>
    <w:rsid w:val="00FE7A13"/>
    <w:rsid w:val="020225C9"/>
    <w:rsid w:val="02623264"/>
    <w:rsid w:val="02950235"/>
    <w:rsid w:val="0415F2FB"/>
    <w:rsid w:val="0475E074"/>
    <w:rsid w:val="04BDA87B"/>
    <w:rsid w:val="069D0BD2"/>
    <w:rsid w:val="06CE0E3A"/>
    <w:rsid w:val="07195EEB"/>
    <w:rsid w:val="07608128"/>
    <w:rsid w:val="08AA5ED8"/>
    <w:rsid w:val="0A3D2249"/>
    <w:rsid w:val="0D66567E"/>
    <w:rsid w:val="0E033E8F"/>
    <w:rsid w:val="0F4EDE8A"/>
    <w:rsid w:val="0FF37AC3"/>
    <w:rsid w:val="1075CBE1"/>
    <w:rsid w:val="134BF721"/>
    <w:rsid w:val="13DB7C13"/>
    <w:rsid w:val="143F6898"/>
    <w:rsid w:val="15C0EED4"/>
    <w:rsid w:val="170AA584"/>
    <w:rsid w:val="180D2981"/>
    <w:rsid w:val="19ABC159"/>
    <w:rsid w:val="1A5CBDBE"/>
    <w:rsid w:val="1CD9B10A"/>
    <w:rsid w:val="1D891525"/>
    <w:rsid w:val="1DED261D"/>
    <w:rsid w:val="1EAD93A1"/>
    <w:rsid w:val="1ED7F30C"/>
    <w:rsid w:val="1FA78A1F"/>
    <w:rsid w:val="1FF4F584"/>
    <w:rsid w:val="21A53142"/>
    <w:rsid w:val="23DC670A"/>
    <w:rsid w:val="267723D3"/>
    <w:rsid w:val="26C9718B"/>
    <w:rsid w:val="26EBBA06"/>
    <w:rsid w:val="275CA1B4"/>
    <w:rsid w:val="291BF3BD"/>
    <w:rsid w:val="2A815D98"/>
    <w:rsid w:val="2AA7CA46"/>
    <w:rsid w:val="2B53AEB8"/>
    <w:rsid w:val="2B68EAD8"/>
    <w:rsid w:val="2B9F687C"/>
    <w:rsid w:val="2BAE0908"/>
    <w:rsid w:val="2BB44C2A"/>
    <w:rsid w:val="2C03EA84"/>
    <w:rsid w:val="2C82A1FF"/>
    <w:rsid w:val="2F4582A1"/>
    <w:rsid w:val="2FA88D8F"/>
    <w:rsid w:val="304915A7"/>
    <w:rsid w:val="30E52472"/>
    <w:rsid w:val="30E86EF3"/>
    <w:rsid w:val="316C8F91"/>
    <w:rsid w:val="31A09049"/>
    <w:rsid w:val="329CCF25"/>
    <w:rsid w:val="34E3201D"/>
    <w:rsid w:val="35CC9D05"/>
    <w:rsid w:val="36BD6FCE"/>
    <w:rsid w:val="3836FDF9"/>
    <w:rsid w:val="39CB2CB8"/>
    <w:rsid w:val="3B5DD279"/>
    <w:rsid w:val="3DBACD15"/>
    <w:rsid w:val="3EE8D6EA"/>
    <w:rsid w:val="3F6FE18C"/>
    <w:rsid w:val="432E2C4A"/>
    <w:rsid w:val="44DC3D1C"/>
    <w:rsid w:val="45BDE938"/>
    <w:rsid w:val="46E70416"/>
    <w:rsid w:val="481AEFEE"/>
    <w:rsid w:val="4979A0CA"/>
    <w:rsid w:val="49802D67"/>
    <w:rsid w:val="498C79A4"/>
    <w:rsid w:val="49B271E3"/>
    <w:rsid w:val="4A4C2E98"/>
    <w:rsid w:val="4BD80E7A"/>
    <w:rsid w:val="4F35DDFA"/>
    <w:rsid w:val="50164F1A"/>
    <w:rsid w:val="508CAB42"/>
    <w:rsid w:val="514EAE75"/>
    <w:rsid w:val="523FC634"/>
    <w:rsid w:val="52AE04FE"/>
    <w:rsid w:val="52B8ED4A"/>
    <w:rsid w:val="52EEB395"/>
    <w:rsid w:val="5454BDAB"/>
    <w:rsid w:val="54A27FBE"/>
    <w:rsid w:val="56B1AC60"/>
    <w:rsid w:val="57FC6EC6"/>
    <w:rsid w:val="5B631390"/>
    <w:rsid w:val="5DF10C65"/>
    <w:rsid w:val="6000D05D"/>
    <w:rsid w:val="6258567C"/>
    <w:rsid w:val="64AA43EE"/>
    <w:rsid w:val="662080D2"/>
    <w:rsid w:val="6ADEABC8"/>
    <w:rsid w:val="6BEFE7E4"/>
    <w:rsid w:val="6C5E2CBE"/>
    <w:rsid w:val="6D1946D5"/>
    <w:rsid w:val="6D2E458D"/>
    <w:rsid w:val="7106B771"/>
    <w:rsid w:val="73A4F720"/>
    <w:rsid w:val="73F6F9B1"/>
    <w:rsid w:val="73F7E1AA"/>
    <w:rsid w:val="750FBDD5"/>
    <w:rsid w:val="75955BB8"/>
    <w:rsid w:val="76042462"/>
    <w:rsid w:val="76194175"/>
    <w:rsid w:val="77A871AC"/>
    <w:rsid w:val="7857661E"/>
    <w:rsid w:val="7B84149A"/>
    <w:rsid w:val="7BB4320E"/>
    <w:rsid w:val="7D5FEDD4"/>
    <w:rsid w:val="7F68F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F088C"/>
  <w15:docId w15:val="{6933EB59-9E1B-4316-B095-EEB60EDD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ED"/>
    <w:pPr>
      <w:spacing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7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762"/>
    <w:pPr>
      <w:spacing w:after="120"/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2AC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A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ACF"/>
    <w:rPr>
      <w:vertAlign w:val="superscript"/>
    </w:rPr>
  </w:style>
  <w:style w:type="paragraph" w:styleId="Revision">
    <w:name w:val="Revision"/>
    <w:hidden/>
    <w:uiPriority w:val="99"/>
    <w:semiHidden/>
    <w:rsid w:val="000809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0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9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9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09ED"/>
  </w:style>
  <w:style w:type="paragraph" w:styleId="Footer">
    <w:name w:val="footer"/>
    <w:basedOn w:val="Normal"/>
    <w:link w:val="FooterChar"/>
    <w:uiPriority w:val="99"/>
    <w:unhideWhenUsed/>
    <w:rsid w:val="000809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09ED"/>
  </w:style>
  <w:style w:type="character" w:styleId="UnresolvedMention">
    <w:name w:val="Unresolved Mention"/>
    <w:basedOn w:val="DefaultParagraphFont"/>
    <w:uiPriority w:val="99"/>
    <w:semiHidden/>
    <w:unhideWhenUsed/>
    <w:rsid w:val="00E667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1AD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3D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3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1788C"/>
  </w:style>
  <w:style w:type="character" w:customStyle="1" w:styleId="eop">
    <w:name w:val="eop"/>
    <w:basedOn w:val="DefaultParagraphFont"/>
    <w:rsid w:val="00B1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services.jobcorps.gov/health/Pages/Alcohol.aspx" TargetMode="External"/><Relationship Id="rId18" Type="http://schemas.openxmlformats.org/officeDocument/2006/relationships/hyperlink" Target="https://virtual-na.or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upportservices.jobcorps.gov/health/Pages/Alcohol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upportservices.jobcorps.gov/health/Pages/Alcohol.aspx" TargetMode="External"/><Relationship Id="rId17" Type="http://schemas.openxmlformats.org/officeDocument/2006/relationships/hyperlink" Target="https://aa-intergroup.org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services.jobcorps.gov/health/Pages/Alcohol.aspx" TargetMode="External"/><Relationship Id="rId20" Type="http://schemas.openxmlformats.org/officeDocument/2006/relationships/hyperlink" Target="https://supportservices.jobcorps.gov/health/Pages/Alcohol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h.jobcorps.gov/Student%20Support%20Services/2.3%20Health%20Services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supportservices.jobcorps.gov/health/Pages/Alcohol.aspx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hyperlink" Target="https://supportservices.jobcorps.gov/health/Pages/Alcohol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services.jobcorps.gov/health/Pages/PINotices.aspx" TargetMode="External"/><Relationship Id="rId22" Type="http://schemas.openxmlformats.org/officeDocument/2006/relationships/header" Target="header1.xml"/><Relationship Id="rId27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XRUYQT3274NZ-681238054-2119</_dlc_DocId>
    <_dlc_DocIdUrl xmlns="b22f8f74-215c-4154-9939-bd29e4e8980e">
      <Url>https://supportservices.jobcorps.gov/health/_layouts/15/DocIdRedir.aspx?ID=XRUYQT3274NZ-681238054-2119</Url>
      <Description>XRUYQT3274NZ-681238054-2119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56AA0AA-000C-4C61-853C-949460FA8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36EF2-ED34-4E6A-AD30-01A0FB46D3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82A193B-1587-B640-AB37-B5C94F57F8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B971AC-619C-4487-AE63-29B8821B79BF}"/>
</file>

<file path=customXml/itemProps5.xml><?xml version="1.0" encoding="utf-8"?>
<ds:datastoreItem xmlns:ds="http://schemas.openxmlformats.org/officeDocument/2006/customXml" ds:itemID="{10C83396-D0D4-47EA-9549-BB3B0F077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1137</Words>
  <Characters>6452</Characters>
  <Application>Microsoft Office Word</Application>
  <DocSecurity>0</DocSecurity>
  <Lines>307</Lines>
  <Paragraphs>210</Paragraphs>
  <ScaleCrop>false</ScaleCrop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Carolina Valdenegro</cp:lastModifiedBy>
  <cp:revision>3</cp:revision>
  <dcterms:created xsi:type="dcterms:W3CDTF">2024-04-09T20:40:00Z</dcterms:created>
  <dcterms:modified xsi:type="dcterms:W3CDTF">2024-04-09T20:42:00Z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GrammarlyDocumentId">
    <vt:lpwstr>06dacdce-4cb7-4380-885e-845a97123848</vt:lpwstr>
  </property>
  <property fmtid="{D5CDD505-2E9C-101B-9397-08002B2CF9AE}" pid="4" name="_dlc_DocIdItemGuid">
    <vt:lpwstr>fe98e09a-d8d5-4ace-b004-d6369f1044df</vt:lpwstr>
  </property>
</Properties>
</file>