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3C" w:rsidRPr="00B92656" w:rsidRDefault="00BC323C" w:rsidP="00E70C14">
      <w:pPr>
        <w:pStyle w:val="Title"/>
        <w:shd w:val="clear" w:color="auto" w:fill="D9D9D9"/>
        <w:rPr>
          <w:szCs w:val="24"/>
        </w:rPr>
      </w:pPr>
      <w:r w:rsidRPr="00B92656">
        <w:rPr>
          <w:szCs w:val="24"/>
        </w:rPr>
        <w:t>TREATMENT GUIDELINES FOR HEALTH STAFF</w:t>
      </w:r>
    </w:p>
    <w:p w:rsidR="00BC323C" w:rsidRPr="00B92656" w:rsidRDefault="00BC323C" w:rsidP="00E70C14">
      <w:pPr>
        <w:pStyle w:val="Title"/>
        <w:shd w:val="clear" w:color="auto" w:fill="D9D9D9"/>
        <w:rPr>
          <w:szCs w:val="24"/>
        </w:rPr>
      </w:pPr>
    </w:p>
    <w:p w:rsidR="00BC323C" w:rsidRPr="00B92656" w:rsidRDefault="00BC323C" w:rsidP="00E70C14">
      <w:pPr>
        <w:pStyle w:val="Title"/>
        <w:shd w:val="clear" w:color="auto" w:fill="D9D9D9"/>
        <w:rPr>
          <w:szCs w:val="24"/>
        </w:rPr>
      </w:pPr>
      <w:r w:rsidRPr="00B92656">
        <w:rPr>
          <w:szCs w:val="24"/>
        </w:rPr>
        <w:t>BITES AND STINGS</w:t>
      </w:r>
    </w:p>
    <w:p w:rsidR="00BC323C" w:rsidRPr="00B92656" w:rsidRDefault="00BC323C" w:rsidP="00BC323C">
      <w:pPr>
        <w:jc w:val="center"/>
      </w:pPr>
    </w:p>
    <w:p w:rsidR="00BC323C" w:rsidRPr="00136E96" w:rsidRDefault="00BC323C" w:rsidP="00BC323C">
      <w:r w:rsidRPr="00136E96">
        <w:t>Authorized health and wellness staff may treat bites and stings as follows:</w:t>
      </w:r>
    </w:p>
    <w:p w:rsidR="00BC323C" w:rsidRPr="00136E96" w:rsidRDefault="00BC323C" w:rsidP="00BC323C"/>
    <w:p w:rsidR="00BC323C" w:rsidRPr="00136E96" w:rsidRDefault="00BC323C" w:rsidP="00BC323C">
      <w:pPr>
        <w:rPr>
          <w:b/>
        </w:rPr>
      </w:pPr>
      <w:r w:rsidRPr="00136E96">
        <w:rPr>
          <w:b/>
        </w:rPr>
        <w:t xml:space="preserve">For </w:t>
      </w:r>
      <w:r w:rsidRPr="00136E96">
        <w:rPr>
          <w:b/>
          <w:bCs w:val="0"/>
        </w:rPr>
        <w:t>human</w:t>
      </w:r>
      <w:r w:rsidRPr="00136E96">
        <w:rPr>
          <w:b/>
        </w:rPr>
        <w:t xml:space="preserve"> bites</w:t>
      </w:r>
      <w:r w:rsidR="00B91128" w:rsidRPr="00136E96">
        <w:rPr>
          <w:b/>
        </w:rPr>
        <w:t>:</w:t>
      </w:r>
    </w:p>
    <w:p w:rsidR="00BC323C" w:rsidRPr="00136E96" w:rsidRDefault="00BC323C" w:rsidP="00BC323C"/>
    <w:p w:rsidR="00BC323C" w:rsidRPr="00136E96" w:rsidRDefault="00BC323C" w:rsidP="00BC323C">
      <w:pPr>
        <w:numPr>
          <w:ilvl w:val="0"/>
          <w:numId w:val="23"/>
        </w:numPr>
        <w:tabs>
          <w:tab w:val="num" w:pos="720"/>
        </w:tabs>
      </w:pPr>
      <w:r w:rsidRPr="00136E96">
        <w:t>Irrigate the open wound with saline solution.</w:t>
      </w:r>
    </w:p>
    <w:p w:rsidR="00BC323C" w:rsidRPr="00136E96" w:rsidRDefault="00BC323C" w:rsidP="00BC323C">
      <w:pPr>
        <w:tabs>
          <w:tab w:val="num" w:pos="720"/>
        </w:tabs>
      </w:pPr>
    </w:p>
    <w:p w:rsidR="00BC323C" w:rsidRPr="00136E96" w:rsidRDefault="00BC323C" w:rsidP="00BC323C">
      <w:pPr>
        <w:numPr>
          <w:ilvl w:val="0"/>
          <w:numId w:val="23"/>
        </w:numPr>
        <w:tabs>
          <w:tab w:val="num" w:pos="720"/>
        </w:tabs>
      </w:pPr>
      <w:r w:rsidRPr="00136E96">
        <w:t>Debride the wound as indicated.</w:t>
      </w:r>
    </w:p>
    <w:p w:rsidR="00BC323C" w:rsidRPr="00136E96" w:rsidRDefault="00BC323C" w:rsidP="00BC323C">
      <w:pPr>
        <w:tabs>
          <w:tab w:val="num" w:pos="720"/>
        </w:tabs>
      </w:pPr>
    </w:p>
    <w:p w:rsidR="00BC323C" w:rsidRPr="00136E96" w:rsidRDefault="00BC323C" w:rsidP="00BC323C">
      <w:pPr>
        <w:numPr>
          <w:ilvl w:val="0"/>
          <w:numId w:val="23"/>
        </w:numPr>
        <w:tabs>
          <w:tab w:val="num" w:pos="720"/>
        </w:tabs>
      </w:pPr>
      <w:r w:rsidRPr="00136E96">
        <w:t>Assess for possible presence of an imbedded foreign body.</w:t>
      </w:r>
    </w:p>
    <w:p w:rsidR="00BC323C" w:rsidRPr="00136E96" w:rsidRDefault="00BC323C" w:rsidP="00BC323C">
      <w:pPr>
        <w:tabs>
          <w:tab w:val="num" w:pos="720"/>
        </w:tabs>
      </w:pPr>
    </w:p>
    <w:p w:rsidR="00BC323C" w:rsidRPr="00136E96" w:rsidRDefault="00BC323C" w:rsidP="00BC323C">
      <w:pPr>
        <w:numPr>
          <w:ilvl w:val="0"/>
          <w:numId w:val="23"/>
        </w:numPr>
        <w:tabs>
          <w:tab w:val="num" w:pos="720"/>
        </w:tabs>
      </w:pPr>
      <w:r w:rsidRPr="00136E96">
        <w:t>Assess the need for surgical closure (</w:t>
      </w:r>
      <w:proofErr w:type="spellStart"/>
      <w:r w:rsidRPr="00136E96">
        <w:t>steri</w:t>
      </w:r>
      <w:proofErr w:type="spellEnd"/>
      <w:r w:rsidRPr="00136E96">
        <w:t>-strip or sutures).</w:t>
      </w:r>
    </w:p>
    <w:p w:rsidR="00BC323C" w:rsidRPr="00136E96" w:rsidRDefault="00BC323C" w:rsidP="00BC323C">
      <w:pPr>
        <w:tabs>
          <w:tab w:val="num" w:pos="720"/>
        </w:tabs>
      </w:pPr>
    </w:p>
    <w:p w:rsidR="00BC323C" w:rsidRPr="00136E96" w:rsidRDefault="00BC323C" w:rsidP="00BC323C">
      <w:pPr>
        <w:numPr>
          <w:ilvl w:val="0"/>
          <w:numId w:val="23"/>
        </w:numPr>
        <w:tabs>
          <w:tab w:val="num" w:pos="720"/>
        </w:tabs>
      </w:pPr>
      <w:r w:rsidRPr="00136E96">
        <w:t>Consider the need for tetanus-diphtheria-acellular pertussis (</w:t>
      </w:r>
      <w:proofErr w:type="spellStart"/>
      <w:r w:rsidRPr="00136E96">
        <w:t>Tdap</w:t>
      </w:r>
      <w:proofErr w:type="spellEnd"/>
      <w:r w:rsidRPr="00136E96">
        <w:t>) booster immunization if status unknown or last dose given more than 5 years ago.</w:t>
      </w:r>
    </w:p>
    <w:p w:rsidR="00BC323C" w:rsidRPr="00136E96" w:rsidRDefault="00BC323C" w:rsidP="00BC323C">
      <w:pPr>
        <w:tabs>
          <w:tab w:val="num" w:pos="720"/>
        </w:tabs>
      </w:pPr>
    </w:p>
    <w:p w:rsidR="00BC323C" w:rsidRPr="00136E96" w:rsidRDefault="00BC323C" w:rsidP="00BC323C">
      <w:pPr>
        <w:numPr>
          <w:ilvl w:val="0"/>
          <w:numId w:val="23"/>
        </w:numPr>
        <w:tabs>
          <w:tab w:val="num" w:pos="720"/>
        </w:tabs>
      </w:pPr>
      <w:r w:rsidRPr="00136E96">
        <w:t>If signs of infection are present or bite wound is on the hand, consider antibiotic treatment with amoxicillin/</w:t>
      </w:r>
      <w:proofErr w:type="spellStart"/>
      <w:r w:rsidRPr="00136E96">
        <w:t>clavulanate</w:t>
      </w:r>
      <w:proofErr w:type="spellEnd"/>
      <w:r w:rsidRPr="00136E96">
        <w:t xml:space="preserve"> (Augmentin) 875 mg every 12 hours for 5 days </w:t>
      </w:r>
      <w:r w:rsidRPr="00136E96">
        <w:rPr>
          <w:b/>
          <w:bCs w:val="0"/>
        </w:rPr>
        <w:t xml:space="preserve">or </w:t>
      </w:r>
      <w:r w:rsidRPr="00136E96">
        <w:t>doxycycline (</w:t>
      </w:r>
      <w:proofErr w:type="spellStart"/>
      <w:r w:rsidRPr="00136E96">
        <w:t>Vibramycin</w:t>
      </w:r>
      <w:proofErr w:type="spellEnd"/>
      <w:r w:rsidRPr="00136E96">
        <w:t>) 100 mg twice daily for 5 days (contraindicated if pregnant).</w:t>
      </w:r>
    </w:p>
    <w:p w:rsidR="00BC323C" w:rsidRPr="00136E96" w:rsidRDefault="00BC323C" w:rsidP="00BC323C">
      <w:pPr>
        <w:tabs>
          <w:tab w:val="num" w:pos="720"/>
        </w:tabs>
      </w:pPr>
    </w:p>
    <w:p w:rsidR="00BC323C" w:rsidRPr="00136E96" w:rsidRDefault="00BC323C" w:rsidP="00BC323C">
      <w:pPr>
        <w:numPr>
          <w:ilvl w:val="0"/>
          <w:numId w:val="23"/>
        </w:numPr>
        <w:tabs>
          <w:tab w:val="num" w:pos="720"/>
        </w:tabs>
      </w:pPr>
      <w:r w:rsidRPr="00136E96">
        <w:t>Evaluate if human bite is indicative of abuse and/or assault and should be reported to authorities.</w:t>
      </w:r>
    </w:p>
    <w:p w:rsidR="00BC323C" w:rsidRPr="00136E96" w:rsidRDefault="00BC323C" w:rsidP="00BC323C">
      <w:pPr>
        <w:ind w:firstLine="720"/>
      </w:pPr>
    </w:p>
    <w:p w:rsidR="00BC323C" w:rsidRPr="00136E96" w:rsidRDefault="00BC323C" w:rsidP="00BC323C">
      <w:pPr>
        <w:rPr>
          <w:b/>
        </w:rPr>
      </w:pPr>
      <w:r w:rsidRPr="00136E96">
        <w:rPr>
          <w:b/>
        </w:rPr>
        <w:t xml:space="preserve">For </w:t>
      </w:r>
      <w:r w:rsidRPr="00136E96">
        <w:rPr>
          <w:b/>
          <w:bCs w:val="0"/>
        </w:rPr>
        <w:t>animal</w:t>
      </w:r>
      <w:r w:rsidRPr="00136E96">
        <w:rPr>
          <w:b/>
        </w:rPr>
        <w:t xml:space="preserve"> bites</w:t>
      </w:r>
      <w:r w:rsidR="00B91128" w:rsidRPr="00136E96">
        <w:rPr>
          <w:b/>
        </w:rPr>
        <w:t>:</w:t>
      </w:r>
    </w:p>
    <w:p w:rsidR="00BC323C" w:rsidRPr="00136E96" w:rsidRDefault="00BC323C" w:rsidP="00BC323C"/>
    <w:p w:rsidR="00BC323C" w:rsidRPr="00136E96" w:rsidRDefault="0092393A" w:rsidP="00BC323C">
      <w:pPr>
        <w:numPr>
          <w:ilvl w:val="0"/>
          <w:numId w:val="24"/>
        </w:numPr>
        <w:tabs>
          <w:tab w:val="num" w:pos="2160"/>
        </w:tabs>
      </w:pPr>
      <w:r w:rsidRPr="00136E96">
        <w:t>Irrigate the open wound with saline solution.</w:t>
      </w:r>
      <w:r w:rsidR="00BC323C" w:rsidRPr="00136E96">
        <w:t xml:space="preserve"> </w:t>
      </w:r>
    </w:p>
    <w:p w:rsidR="00BC323C" w:rsidRPr="00136E96" w:rsidRDefault="00BC323C" w:rsidP="00BC323C">
      <w:pPr>
        <w:tabs>
          <w:tab w:val="num" w:pos="2160"/>
        </w:tabs>
      </w:pPr>
    </w:p>
    <w:p w:rsidR="00BC323C" w:rsidRPr="00136E96" w:rsidRDefault="00BC323C" w:rsidP="00BC323C">
      <w:pPr>
        <w:numPr>
          <w:ilvl w:val="0"/>
          <w:numId w:val="24"/>
        </w:numPr>
        <w:tabs>
          <w:tab w:val="num" w:pos="2160"/>
        </w:tabs>
      </w:pPr>
      <w:r w:rsidRPr="00136E96">
        <w:t xml:space="preserve">Debride the wound as necessary and evaluate for surgical closure.  </w:t>
      </w:r>
    </w:p>
    <w:p w:rsidR="00BC323C" w:rsidRPr="00136E96" w:rsidRDefault="00BC323C" w:rsidP="00BC323C">
      <w:pPr>
        <w:tabs>
          <w:tab w:val="num" w:pos="2160"/>
        </w:tabs>
      </w:pPr>
    </w:p>
    <w:p w:rsidR="00BC323C" w:rsidRPr="00136E96" w:rsidRDefault="00BC323C" w:rsidP="00BC323C">
      <w:pPr>
        <w:numPr>
          <w:ilvl w:val="0"/>
          <w:numId w:val="24"/>
        </w:numPr>
        <w:tabs>
          <w:tab w:val="num" w:pos="2160"/>
        </w:tabs>
      </w:pPr>
      <w:r w:rsidRPr="00136E96">
        <w:t xml:space="preserve">Consider the need for the </w:t>
      </w:r>
      <w:proofErr w:type="spellStart"/>
      <w:r w:rsidRPr="00136E96">
        <w:t>Tdap</w:t>
      </w:r>
      <w:proofErr w:type="spellEnd"/>
      <w:r w:rsidRPr="00136E96">
        <w:t xml:space="preserve"> booster immunization as with human bite.</w:t>
      </w:r>
    </w:p>
    <w:p w:rsidR="00BC323C" w:rsidRPr="00136E96" w:rsidRDefault="00BC323C" w:rsidP="00BC323C">
      <w:pPr>
        <w:tabs>
          <w:tab w:val="num" w:pos="2160"/>
        </w:tabs>
      </w:pPr>
    </w:p>
    <w:p w:rsidR="00BC323C" w:rsidRPr="00136E96" w:rsidRDefault="00BC323C" w:rsidP="00BC323C">
      <w:pPr>
        <w:numPr>
          <w:ilvl w:val="0"/>
          <w:numId w:val="24"/>
        </w:numPr>
        <w:tabs>
          <w:tab w:val="num" w:pos="2160"/>
        </w:tabs>
      </w:pPr>
      <w:r w:rsidRPr="00136E96">
        <w:t>If signs of infection, consider antibiotic treatment as indicated for human bites.</w:t>
      </w:r>
    </w:p>
    <w:p w:rsidR="00BC323C" w:rsidRPr="00136E96" w:rsidRDefault="00BC323C" w:rsidP="00BC323C">
      <w:pPr>
        <w:tabs>
          <w:tab w:val="num" w:pos="2160"/>
        </w:tabs>
      </w:pPr>
    </w:p>
    <w:p w:rsidR="00313F0C" w:rsidRPr="00136E96" w:rsidRDefault="00C67448" w:rsidP="00A46D03">
      <w:pPr>
        <w:numPr>
          <w:ilvl w:val="0"/>
          <w:numId w:val="24"/>
        </w:numPr>
        <w:tabs>
          <w:tab w:val="num" w:pos="2160"/>
        </w:tabs>
      </w:pPr>
      <w:r w:rsidRPr="00136E96">
        <w:t>Report</w:t>
      </w:r>
      <w:r w:rsidR="00BC323C" w:rsidRPr="00136E96">
        <w:t xml:space="preserve"> animal bites to local authorities </w:t>
      </w:r>
      <w:r w:rsidRPr="00136E96">
        <w:t>and m</w:t>
      </w:r>
      <w:r w:rsidR="00BC323C" w:rsidRPr="00136E96">
        <w:t>anage in consultation with state or local health department.</w:t>
      </w:r>
    </w:p>
    <w:p w:rsidR="00A46D03" w:rsidRPr="00136E96" w:rsidRDefault="00A46D03" w:rsidP="00A46D03">
      <w:pPr>
        <w:tabs>
          <w:tab w:val="num" w:pos="2160"/>
        </w:tabs>
      </w:pPr>
    </w:p>
    <w:p w:rsidR="00313F0C" w:rsidRPr="00136E96" w:rsidRDefault="00BC323C" w:rsidP="00A46D03">
      <w:pPr>
        <w:numPr>
          <w:ilvl w:val="0"/>
          <w:numId w:val="24"/>
        </w:numPr>
        <w:tabs>
          <w:tab w:val="num" w:pos="2160"/>
        </w:tabs>
      </w:pPr>
      <w:r w:rsidRPr="00136E96">
        <w:t>Examine the wound in 48 hours and again at the end of antibiotic treatment (if initiated at onset).</w:t>
      </w:r>
    </w:p>
    <w:p w:rsidR="00136E96" w:rsidRDefault="00136E96" w:rsidP="00BC323C">
      <w:pPr>
        <w:sectPr w:rsidR="00136E96" w:rsidSect="00136E9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323C" w:rsidRPr="00136E96" w:rsidRDefault="00BC323C" w:rsidP="00BC323C">
      <w:pPr>
        <w:rPr>
          <w:b/>
        </w:rPr>
      </w:pPr>
      <w:r w:rsidRPr="00136E96">
        <w:rPr>
          <w:b/>
        </w:rPr>
        <w:t xml:space="preserve">For </w:t>
      </w:r>
      <w:r w:rsidRPr="00136E96">
        <w:rPr>
          <w:b/>
          <w:bCs w:val="0"/>
        </w:rPr>
        <w:t>insect and arthropod</w:t>
      </w:r>
      <w:r w:rsidRPr="00136E96">
        <w:rPr>
          <w:b/>
        </w:rPr>
        <w:t xml:space="preserve"> bites and stings</w:t>
      </w:r>
      <w:r w:rsidR="00B91128" w:rsidRPr="00136E96">
        <w:rPr>
          <w:b/>
        </w:rPr>
        <w:t>:</w:t>
      </w:r>
    </w:p>
    <w:p w:rsidR="00BC323C" w:rsidRPr="00136E96" w:rsidRDefault="00BC323C" w:rsidP="00136E96"/>
    <w:p w:rsidR="00BC323C" w:rsidRPr="00136E96" w:rsidRDefault="00BC323C" w:rsidP="00BC323C">
      <w:pPr>
        <w:numPr>
          <w:ilvl w:val="0"/>
          <w:numId w:val="25"/>
        </w:numPr>
      </w:pPr>
      <w:r w:rsidRPr="00136E96">
        <w:t xml:space="preserve">For generalized </w:t>
      </w:r>
      <w:proofErr w:type="spellStart"/>
      <w:r w:rsidRPr="00136E96">
        <w:t>urticaria</w:t>
      </w:r>
      <w:proofErr w:type="spellEnd"/>
      <w:r w:rsidRPr="00136E96">
        <w:t xml:space="preserve">, wheezing, chest or throat tightness, syncope, or dizziness, stabilize airway and give epinephrine (1:1,000, 0.3 ml) subcutaneously, diphenhydramine (Benadryl) 50 mg IM, nebulized albuterol for bronchospasm, and transport to emergency center as soon as possible.  </w:t>
      </w:r>
    </w:p>
    <w:p w:rsidR="00BC323C" w:rsidRPr="00136E96" w:rsidRDefault="00BC323C" w:rsidP="00BC323C"/>
    <w:p w:rsidR="00BC323C" w:rsidRPr="00136E96" w:rsidRDefault="00BC323C" w:rsidP="00BC323C">
      <w:pPr>
        <w:numPr>
          <w:ilvl w:val="0"/>
          <w:numId w:val="25"/>
        </w:numPr>
      </w:pPr>
      <w:r w:rsidRPr="00136E96">
        <w:t>Remove the stinger and cleanse the skin with a disinfectant.</w:t>
      </w:r>
    </w:p>
    <w:p w:rsidR="00BC323C" w:rsidRPr="00136E96" w:rsidRDefault="00BC323C" w:rsidP="00BC323C"/>
    <w:p w:rsidR="00BC323C" w:rsidRPr="00136E96" w:rsidRDefault="00BC323C" w:rsidP="00BC323C">
      <w:pPr>
        <w:numPr>
          <w:ilvl w:val="0"/>
          <w:numId w:val="25"/>
        </w:numPr>
      </w:pPr>
      <w:r w:rsidRPr="00136E96">
        <w:t>Administer supportive measures, i.e., cool compresses and elevation of the body part.</w:t>
      </w:r>
    </w:p>
    <w:p w:rsidR="00BC323C" w:rsidRPr="00136E96" w:rsidRDefault="00BC323C" w:rsidP="00BC323C"/>
    <w:p w:rsidR="00BC323C" w:rsidRPr="00136E96" w:rsidRDefault="00BC323C" w:rsidP="00BC323C">
      <w:pPr>
        <w:numPr>
          <w:ilvl w:val="0"/>
          <w:numId w:val="25"/>
        </w:numPr>
      </w:pPr>
      <w:r w:rsidRPr="00136E96">
        <w:t xml:space="preserve">For mild itching, systemic therapy with antihistamines, e.g., diphenhydramine (Benadryl) 25-50 mg </w:t>
      </w:r>
      <w:proofErr w:type="spellStart"/>
      <w:r w:rsidRPr="00136E96">
        <w:t>po</w:t>
      </w:r>
      <w:proofErr w:type="spellEnd"/>
      <w:r w:rsidRPr="00136E96">
        <w:t xml:space="preserve"> as a single dose or hydroxyzine (</w:t>
      </w:r>
      <w:proofErr w:type="spellStart"/>
      <w:r w:rsidRPr="00136E96">
        <w:t>Atarax</w:t>
      </w:r>
      <w:proofErr w:type="spellEnd"/>
      <w:r w:rsidRPr="00136E96">
        <w:t>/</w:t>
      </w:r>
      <w:proofErr w:type="spellStart"/>
      <w:r w:rsidRPr="00136E96">
        <w:t>Vistaril</w:t>
      </w:r>
      <w:proofErr w:type="spellEnd"/>
      <w:r w:rsidRPr="00136E96">
        <w:t xml:space="preserve">) 25 mg </w:t>
      </w:r>
      <w:proofErr w:type="spellStart"/>
      <w:r w:rsidRPr="00136E96">
        <w:t>po</w:t>
      </w:r>
      <w:proofErr w:type="spellEnd"/>
      <w:r w:rsidRPr="00136E96">
        <w:t xml:space="preserve"> as a single dose, may be given.  </w:t>
      </w:r>
    </w:p>
    <w:p w:rsidR="00BC323C" w:rsidRPr="00136E96" w:rsidRDefault="00BC323C" w:rsidP="00BC323C">
      <w:bookmarkStart w:id="0" w:name="_GoBack"/>
      <w:bookmarkEnd w:id="0"/>
    </w:p>
    <w:p w:rsidR="00BC323C" w:rsidRPr="00136E96" w:rsidRDefault="00BC323C" w:rsidP="00C67448">
      <w:pPr>
        <w:numPr>
          <w:ilvl w:val="0"/>
          <w:numId w:val="25"/>
        </w:numPr>
      </w:pPr>
      <w:r w:rsidRPr="00136E96">
        <w:t xml:space="preserve">Antibiotics are </w:t>
      </w:r>
      <w:r w:rsidRPr="00136E96">
        <w:rPr>
          <w:b/>
          <w:bCs w:val="0"/>
        </w:rPr>
        <w:t xml:space="preserve">not </w:t>
      </w:r>
      <w:r w:rsidRPr="00136E96">
        <w:t>normally given unless there are obvious signs of bacterial infection.  Local erythema and swelling are usually due to the chemical envenomation.</w:t>
      </w:r>
    </w:p>
    <w:p w:rsidR="00BC323C" w:rsidRPr="00136E96" w:rsidRDefault="00BC323C" w:rsidP="00BC323C"/>
    <w:p w:rsidR="00BC323C" w:rsidRPr="00AA1A49" w:rsidRDefault="00BC323C" w:rsidP="00BC323C">
      <w:pPr>
        <w:rPr>
          <w:b/>
        </w:rPr>
      </w:pPr>
      <w:r w:rsidRPr="00AA1A49">
        <w:rPr>
          <w:b/>
        </w:rPr>
        <w:t>For snake bites</w:t>
      </w:r>
      <w:r w:rsidR="00D17827" w:rsidRPr="00AA1A49">
        <w:rPr>
          <w:b/>
        </w:rPr>
        <w:t>:</w:t>
      </w:r>
    </w:p>
    <w:p w:rsidR="00BC323C" w:rsidRPr="00136E96" w:rsidRDefault="00BC323C" w:rsidP="00BC323C">
      <w:pPr>
        <w:rPr>
          <w:b/>
        </w:rPr>
      </w:pPr>
    </w:p>
    <w:p w:rsidR="00BC323C" w:rsidRPr="00136E96" w:rsidRDefault="00BC323C" w:rsidP="00AA1A49">
      <w:pPr>
        <w:numPr>
          <w:ilvl w:val="0"/>
          <w:numId w:val="29"/>
        </w:numPr>
      </w:pPr>
      <w:r w:rsidRPr="00136E96">
        <w:t>Consult and manage in consultation with state or local health department.</w:t>
      </w:r>
    </w:p>
    <w:p w:rsidR="00BC323C" w:rsidRPr="00136E96" w:rsidRDefault="00BC323C" w:rsidP="00BC323C"/>
    <w:p w:rsidR="00BC323C" w:rsidRPr="00136E96" w:rsidRDefault="00BC323C" w:rsidP="00BC323C">
      <w:pPr>
        <w:pStyle w:val="Heading3"/>
        <w:rPr>
          <w:sz w:val="24"/>
          <w:szCs w:val="24"/>
        </w:rPr>
      </w:pPr>
      <w:r w:rsidRPr="00136E96">
        <w:rPr>
          <w:sz w:val="24"/>
          <w:szCs w:val="24"/>
        </w:rPr>
        <w:t>WHEN TO REFER TO THE CENTER PHYSICIAN</w:t>
      </w:r>
    </w:p>
    <w:p w:rsidR="00BC323C" w:rsidRPr="00136E96" w:rsidRDefault="00BC323C" w:rsidP="00BC323C"/>
    <w:p w:rsidR="00BC323C" w:rsidRPr="00136E96" w:rsidRDefault="00BC323C" w:rsidP="00BC323C">
      <w:pPr>
        <w:numPr>
          <w:ilvl w:val="0"/>
          <w:numId w:val="26"/>
        </w:numPr>
      </w:pPr>
      <w:r w:rsidRPr="00136E96">
        <w:t>If cat bite, refer to center physician for consideration of antibiotic prophylaxis</w:t>
      </w:r>
    </w:p>
    <w:p w:rsidR="00BC323C" w:rsidRPr="00136E96" w:rsidRDefault="00BC323C" w:rsidP="00BC323C"/>
    <w:p w:rsidR="0092393A" w:rsidRPr="00136E96" w:rsidRDefault="0092393A" w:rsidP="0092393A">
      <w:pPr>
        <w:numPr>
          <w:ilvl w:val="0"/>
          <w:numId w:val="28"/>
        </w:numPr>
        <w:ind w:left="360"/>
      </w:pPr>
      <w:r w:rsidRPr="00136E96">
        <w:t>If the wound may require suturing</w:t>
      </w:r>
    </w:p>
    <w:p w:rsidR="0092393A" w:rsidRPr="00136E96" w:rsidRDefault="0092393A" w:rsidP="00BC323C"/>
    <w:p w:rsidR="00C67448" w:rsidRPr="00136E96" w:rsidRDefault="00C67448" w:rsidP="00C67448">
      <w:pPr>
        <w:numPr>
          <w:ilvl w:val="0"/>
          <w:numId w:val="28"/>
        </w:numPr>
        <w:ind w:left="360"/>
      </w:pPr>
      <w:r w:rsidRPr="00136E96">
        <w:t>For black widow spider or scorpion bite</w:t>
      </w:r>
    </w:p>
    <w:p w:rsidR="00C67448" w:rsidRPr="00136E96" w:rsidRDefault="00C67448" w:rsidP="00BC323C"/>
    <w:p w:rsidR="00BC323C" w:rsidRPr="00136E96" w:rsidRDefault="00C67448" w:rsidP="00BC323C">
      <w:pPr>
        <w:numPr>
          <w:ilvl w:val="0"/>
          <w:numId w:val="26"/>
        </w:numPr>
      </w:pPr>
      <w:r w:rsidRPr="00136E96">
        <w:t>If lesions are not improving on antibiotics or there are signs of cellulitis (surrounding erythema, streaking from the lesions, local tenderness) or abscess</w:t>
      </w:r>
    </w:p>
    <w:p w:rsidR="00BC323C" w:rsidRPr="00136E96" w:rsidRDefault="00BC323C" w:rsidP="00BC323C"/>
    <w:p w:rsidR="0092393A" w:rsidRPr="00136E96" w:rsidRDefault="00BC323C" w:rsidP="0092393A">
      <w:pPr>
        <w:numPr>
          <w:ilvl w:val="0"/>
          <w:numId w:val="26"/>
        </w:numPr>
      </w:pPr>
      <w:r w:rsidRPr="00136E96">
        <w:t xml:space="preserve">If the wound is not healing </w:t>
      </w:r>
      <w:r w:rsidRPr="00136E96">
        <w:rPr>
          <w:b/>
        </w:rPr>
        <w:t>on</w:t>
      </w:r>
      <w:r w:rsidRPr="00136E96">
        <w:t xml:space="preserve"> antibiotic therapy</w:t>
      </w:r>
    </w:p>
    <w:sectPr w:rsidR="0092393A" w:rsidRPr="00136E96" w:rsidSect="00136E9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EE" w:rsidRDefault="00C800EE">
      <w:r>
        <w:separator/>
      </w:r>
    </w:p>
  </w:endnote>
  <w:endnote w:type="continuationSeparator" w:id="0">
    <w:p w:rsidR="00C800EE" w:rsidRDefault="00C8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3C" w:rsidRPr="00136E96" w:rsidRDefault="00136E96" w:rsidP="002014C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136E96">
      <w:rPr>
        <w:sz w:val="20"/>
        <w:szCs w:val="20"/>
      </w:rPr>
      <w:t>November 2019</w:t>
    </w:r>
    <w:r w:rsidRPr="00136E96">
      <w:rPr>
        <w:sz w:val="20"/>
        <w:szCs w:val="20"/>
      </w:rPr>
      <w:tab/>
      <w:t xml:space="preserve">Page </w:t>
    </w:r>
    <w:r w:rsidRPr="00136E96">
      <w:rPr>
        <w:bCs w:val="0"/>
        <w:sz w:val="20"/>
        <w:szCs w:val="20"/>
      </w:rPr>
      <w:fldChar w:fldCharType="begin"/>
    </w:r>
    <w:r w:rsidRPr="00136E96">
      <w:rPr>
        <w:bCs w:val="0"/>
        <w:sz w:val="20"/>
        <w:szCs w:val="20"/>
      </w:rPr>
      <w:instrText xml:space="preserve"> PAGE  \* Arabic  \* MERGEFORMAT </w:instrText>
    </w:r>
    <w:r w:rsidRPr="00136E96">
      <w:rPr>
        <w:bCs w:val="0"/>
        <w:sz w:val="20"/>
        <w:szCs w:val="20"/>
      </w:rPr>
      <w:fldChar w:fldCharType="separate"/>
    </w:r>
    <w:r w:rsidR="00AA1A49">
      <w:rPr>
        <w:bCs w:val="0"/>
        <w:noProof/>
        <w:sz w:val="20"/>
        <w:szCs w:val="20"/>
      </w:rPr>
      <w:t>1</w:t>
    </w:r>
    <w:r w:rsidRPr="00136E96">
      <w:rPr>
        <w:bCs w:val="0"/>
        <w:sz w:val="20"/>
        <w:szCs w:val="20"/>
      </w:rPr>
      <w:fldChar w:fldCharType="end"/>
    </w:r>
    <w:r w:rsidRPr="00136E96">
      <w:rPr>
        <w:sz w:val="20"/>
        <w:szCs w:val="20"/>
      </w:rPr>
      <w:t xml:space="preserve"> of </w:t>
    </w:r>
    <w:r w:rsidRPr="00136E96">
      <w:rPr>
        <w:bCs w:val="0"/>
        <w:sz w:val="20"/>
        <w:szCs w:val="20"/>
      </w:rPr>
      <w:fldChar w:fldCharType="begin"/>
    </w:r>
    <w:r w:rsidRPr="00136E96">
      <w:rPr>
        <w:bCs w:val="0"/>
        <w:sz w:val="20"/>
        <w:szCs w:val="20"/>
      </w:rPr>
      <w:instrText xml:space="preserve"> NUMPAGES  \* Arabic  \* MERGEFORMAT </w:instrText>
    </w:r>
    <w:r w:rsidRPr="00136E96">
      <w:rPr>
        <w:bCs w:val="0"/>
        <w:sz w:val="20"/>
        <w:szCs w:val="20"/>
      </w:rPr>
      <w:fldChar w:fldCharType="separate"/>
    </w:r>
    <w:r w:rsidR="00AA1A49">
      <w:rPr>
        <w:bCs w:val="0"/>
        <w:noProof/>
        <w:sz w:val="20"/>
        <w:szCs w:val="20"/>
      </w:rPr>
      <w:t>2</w:t>
    </w:r>
    <w:r w:rsidRPr="00136E96">
      <w:rPr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EE" w:rsidRDefault="00C800EE">
      <w:r>
        <w:separator/>
      </w:r>
    </w:p>
  </w:footnote>
  <w:footnote w:type="continuationSeparator" w:id="0">
    <w:p w:rsidR="00C800EE" w:rsidRDefault="00C8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96" w:rsidRPr="00136E96" w:rsidRDefault="00136E96" w:rsidP="00136E96">
    <w:pPr>
      <w:pBdr>
        <w:bottom w:val="single" w:sz="4" w:space="1" w:color="auto"/>
      </w:pBdr>
      <w:rPr>
        <w:sz w:val="20"/>
        <w:szCs w:val="20"/>
      </w:rPr>
    </w:pPr>
    <w:r w:rsidRPr="00136E96">
      <w:rPr>
        <w:sz w:val="20"/>
        <w:szCs w:val="20"/>
      </w:rPr>
      <w:t>Treatment Guidelines For Health Staff: Bites And Stings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C96"/>
    <w:multiLevelType w:val="hybridMultilevel"/>
    <w:tmpl w:val="43CEC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208E7"/>
    <w:multiLevelType w:val="hybridMultilevel"/>
    <w:tmpl w:val="8AFEC72E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D92BFF"/>
    <w:multiLevelType w:val="hybridMultilevel"/>
    <w:tmpl w:val="09241D1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D1301"/>
    <w:multiLevelType w:val="hybridMultilevel"/>
    <w:tmpl w:val="385C6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52EB"/>
    <w:multiLevelType w:val="hybridMultilevel"/>
    <w:tmpl w:val="0E5EA468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25B706F9"/>
    <w:multiLevelType w:val="hybridMultilevel"/>
    <w:tmpl w:val="BD3E820C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7F41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79CD"/>
    <w:multiLevelType w:val="hybridMultilevel"/>
    <w:tmpl w:val="4F6C3AAC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1089D"/>
    <w:multiLevelType w:val="hybridMultilevel"/>
    <w:tmpl w:val="61DCCC5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C40F9"/>
    <w:multiLevelType w:val="hybridMultilevel"/>
    <w:tmpl w:val="A7C22E5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E47B6"/>
    <w:multiLevelType w:val="hybridMultilevel"/>
    <w:tmpl w:val="C77EAD3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51A45"/>
    <w:multiLevelType w:val="hybridMultilevel"/>
    <w:tmpl w:val="0B84021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5E2D5E"/>
    <w:multiLevelType w:val="hybridMultilevel"/>
    <w:tmpl w:val="8BB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43653"/>
    <w:multiLevelType w:val="hybridMultilevel"/>
    <w:tmpl w:val="95D6C62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31C4A"/>
    <w:multiLevelType w:val="hybridMultilevel"/>
    <w:tmpl w:val="8AFEC72E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74035DA6"/>
    <w:multiLevelType w:val="hybridMultilevel"/>
    <w:tmpl w:val="FE48D2D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686A3E"/>
    <w:multiLevelType w:val="hybridMultilevel"/>
    <w:tmpl w:val="13867CB4"/>
    <w:lvl w:ilvl="0" w:tplc="0FBAC5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F0E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8"/>
  </w:num>
  <w:num w:numId="5">
    <w:abstractNumId w:val="26"/>
  </w:num>
  <w:num w:numId="6">
    <w:abstractNumId w:val="5"/>
  </w:num>
  <w:num w:numId="7">
    <w:abstractNumId w:val="11"/>
  </w:num>
  <w:num w:numId="8">
    <w:abstractNumId w:val="4"/>
  </w:num>
  <w:num w:numId="9">
    <w:abstractNumId w:val="18"/>
  </w:num>
  <w:num w:numId="10">
    <w:abstractNumId w:val="9"/>
  </w:num>
  <w:num w:numId="11">
    <w:abstractNumId w:val="19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25"/>
  </w:num>
  <w:num w:numId="18">
    <w:abstractNumId w:val="24"/>
  </w:num>
  <w:num w:numId="19">
    <w:abstractNumId w:val="7"/>
  </w:num>
  <w:num w:numId="20">
    <w:abstractNumId w:val="17"/>
  </w:num>
  <w:num w:numId="21">
    <w:abstractNumId w:val="14"/>
  </w:num>
  <w:num w:numId="22">
    <w:abstractNumId w:val="27"/>
  </w:num>
  <w:num w:numId="23">
    <w:abstractNumId w:val="8"/>
  </w:num>
  <w:num w:numId="24">
    <w:abstractNumId w:val="6"/>
  </w:num>
  <w:num w:numId="25">
    <w:abstractNumId w:val="22"/>
  </w:num>
  <w:num w:numId="26">
    <w:abstractNumId w:val="12"/>
  </w:num>
  <w:num w:numId="27">
    <w:abstractNumId w:val="0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1823"/>
    <w:rsid w:val="000E223A"/>
    <w:rsid w:val="00136E96"/>
    <w:rsid w:val="002014CC"/>
    <w:rsid w:val="002414A6"/>
    <w:rsid w:val="002B4402"/>
    <w:rsid w:val="002B7453"/>
    <w:rsid w:val="00313F0C"/>
    <w:rsid w:val="00327F96"/>
    <w:rsid w:val="00353A26"/>
    <w:rsid w:val="00485A18"/>
    <w:rsid w:val="00621A51"/>
    <w:rsid w:val="006E5142"/>
    <w:rsid w:val="006E6AB8"/>
    <w:rsid w:val="006E768F"/>
    <w:rsid w:val="00775295"/>
    <w:rsid w:val="008379DB"/>
    <w:rsid w:val="00906BC6"/>
    <w:rsid w:val="0092393A"/>
    <w:rsid w:val="00A46D03"/>
    <w:rsid w:val="00AA1A49"/>
    <w:rsid w:val="00AD6A39"/>
    <w:rsid w:val="00B53E0F"/>
    <w:rsid w:val="00B91128"/>
    <w:rsid w:val="00B92656"/>
    <w:rsid w:val="00BA6C55"/>
    <w:rsid w:val="00BC323C"/>
    <w:rsid w:val="00C0290B"/>
    <w:rsid w:val="00C33FDD"/>
    <w:rsid w:val="00C67448"/>
    <w:rsid w:val="00C800EE"/>
    <w:rsid w:val="00D17827"/>
    <w:rsid w:val="00DA2137"/>
    <w:rsid w:val="00DF2078"/>
    <w:rsid w:val="00E70C14"/>
    <w:rsid w:val="00E718FB"/>
    <w:rsid w:val="00F36A04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F21D035-F937-4301-ABE9-CF9978B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313F0C"/>
    <w:pPr>
      <w:ind w:left="720"/>
    </w:pPr>
  </w:style>
  <w:style w:type="paragraph" w:styleId="BalloonText">
    <w:name w:val="Balloon Text"/>
    <w:basedOn w:val="Normal"/>
    <w:link w:val="BalloonTextChar"/>
    <w:rsid w:val="0031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F0C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XRUYQT3274NZ-681238054-1443</_dlc_DocId>
    <_dlc_DocIdUrl xmlns="b22f8f74-215c-4154-9939-bd29e4e8980e">
      <Url>https://supportservices.jobcorps.gov/health/_layouts/15/DocIdRedir.aspx?ID=XRUYQT3274NZ-681238054-1443</Url>
      <Description>XRUYQT3274NZ-681238054-1443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681CD9-3BF0-479B-9847-A8D04CE1EFED}"/>
</file>

<file path=customXml/itemProps2.xml><?xml version="1.0" encoding="utf-8"?>
<ds:datastoreItem xmlns:ds="http://schemas.openxmlformats.org/officeDocument/2006/customXml" ds:itemID="{E4BDE988-EA5F-4D85-A36A-1AA308783992}"/>
</file>

<file path=customXml/itemProps3.xml><?xml version="1.0" encoding="utf-8"?>
<ds:datastoreItem xmlns:ds="http://schemas.openxmlformats.org/officeDocument/2006/customXml" ds:itemID="{02CB27CA-CBC2-418E-8EF8-15592288BA41}"/>
</file>

<file path=customXml/itemProps4.xml><?xml version="1.0" encoding="utf-8"?>
<ds:datastoreItem xmlns:ds="http://schemas.openxmlformats.org/officeDocument/2006/customXml" ds:itemID="{6BDFE78A-1207-4248-975B-ADBBA2D4B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6</cp:revision>
  <dcterms:created xsi:type="dcterms:W3CDTF">2015-07-22T14:54:00Z</dcterms:created>
  <dcterms:modified xsi:type="dcterms:W3CDTF">2019-11-22T20:12:00Z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efd5e202-6086-468b-b551-47e36f9b2427</vt:lpwstr>
  </property>
</Properties>
</file>