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D644" w14:textId="1FAC9936" w:rsidR="000B0553" w:rsidRPr="00D83B91" w:rsidRDefault="000B0553" w:rsidP="00D83B91">
      <w:pPr>
        <w:pStyle w:val="Title"/>
        <w:shd w:val="clear" w:color="auto" w:fill="D9D9D9" w:themeFill="background1" w:themeFillShade="D9"/>
        <w:spacing w:before="100" w:beforeAutospacing="1" w:after="100" w:afterAutospacing="1"/>
      </w:pPr>
      <w:r w:rsidRPr="001A4105">
        <w:t>TREATMENT GUIDELINES FOR HEALTH STAFF</w:t>
      </w:r>
    </w:p>
    <w:p w14:paraId="67C7121A" w14:textId="28FCA0AE" w:rsidR="000B0553" w:rsidRPr="001A4105" w:rsidRDefault="000B0553" w:rsidP="00D83B91">
      <w:pPr>
        <w:shd w:val="clear" w:color="auto" w:fill="D9D9D9" w:themeFill="background1" w:themeFillShade="D9"/>
        <w:spacing w:before="100" w:beforeAutospacing="1" w:after="100" w:afterAutospacing="1"/>
        <w:jc w:val="center"/>
      </w:pPr>
      <w:r w:rsidRPr="001A4105">
        <w:rPr>
          <w:b/>
          <w:bCs w:val="0"/>
        </w:rPr>
        <w:t>TUBERCULIN SKIN TESTING</w:t>
      </w:r>
      <w:r w:rsidR="00FC3154">
        <w:rPr>
          <w:b/>
          <w:bCs w:val="0"/>
        </w:rPr>
        <w:t xml:space="preserve"> AND LATENT TUBERCULOSIS</w:t>
      </w:r>
    </w:p>
    <w:p w14:paraId="5B0E635C" w14:textId="77777777" w:rsidR="000B0553" w:rsidRPr="001A4105" w:rsidRDefault="000B0553" w:rsidP="000B0553"/>
    <w:p w14:paraId="52069A2F" w14:textId="3D1328B1" w:rsidR="000B0553" w:rsidRPr="001A4105" w:rsidRDefault="000B0553" w:rsidP="000B0553">
      <w:r w:rsidRPr="001A4105">
        <w:t xml:space="preserve">Authorized health and wellness staff may evaluate tuberculin skin </w:t>
      </w:r>
      <w:r w:rsidR="00FC3154" w:rsidRPr="001A4105">
        <w:t>test</w:t>
      </w:r>
      <w:r w:rsidR="00FC3154">
        <w:t xml:space="preserve"> results </w:t>
      </w:r>
      <w:r w:rsidR="00FC3154" w:rsidRPr="001A4105">
        <w:t xml:space="preserve">and treat </w:t>
      </w:r>
      <w:r w:rsidR="00FC3154">
        <w:t xml:space="preserve">latent tuberculosis </w:t>
      </w:r>
      <w:r w:rsidRPr="001A4105">
        <w:t>as follows:</w:t>
      </w:r>
    </w:p>
    <w:p w14:paraId="6255EE24" w14:textId="77777777" w:rsidR="000B0553" w:rsidRPr="001A4105" w:rsidRDefault="000B0553" w:rsidP="000B0553"/>
    <w:p w14:paraId="159DB897" w14:textId="77777777" w:rsidR="00645ACE" w:rsidRDefault="000B0553" w:rsidP="000B0553">
      <w:pPr>
        <w:autoSpaceDE w:val="0"/>
        <w:autoSpaceDN w:val="0"/>
        <w:adjustRightInd w:val="0"/>
      </w:pPr>
      <w:r w:rsidRPr="003B5831">
        <w:rPr>
          <w:b/>
        </w:rPr>
        <w:t>Note:</w:t>
      </w:r>
      <w:r w:rsidRPr="001A4105">
        <w:t xml:space="preserve"> </w:t>
      </w:r>
    </w:p>
    <w:p w14:paraId="5EBF46B4" w14:textId="77777777" w:rsidR="00645ACE" w:rsidRDefault="00645ACE" w:rsidP="000B0553">
      <w:pPr>
        <w:autoSpaceDE w:val="0"/>
        <w:autoSpaceDN w:val="0"/>
        <w:adjustRightInd w:val="0"/>
      </w:pPr>
    </w:p>
    <w:p w14:paraId="6B085D07" w14:textId="77777777" w:rsidR="000B0553" w:rsidRPr="00645ACE" w:rsidRDefault="000B0553" w:rsidP="00645ACE">
      <w:pPr>
        <w:pStyle w:val="BodyTextIndent"/>
        <w:numPr>
          <w:ilvl w:val="0"/>
          <w:numId w:val="18"/>
        </w:numPr>
      </w:pPr>
      <w:r w:rsidRPr="00645ACE">
        <w:t>Patients with a previous history of tuberculosis or positive tuberculin skin testing should not receive a repeat tuberculin skin test.</w:t>
      </w:r>
    </w:p>
    <w:p w14:paraId="3AE5B620" w14:textId="77777777" w:rsidR="00645ACE" w:rsidRPr="00645ACE" w:rsidRDefault="00645ACE" w:rsidP="00645ACE">
      <w:pPr>
        <w:pStyle w:val="BodyTextIndent"/>
      </w:pPr>
    </w:p>
    <w:p w14:paraId="1988C8B6" w14:textId="12BF7144" w:rsidR="00645ACE" w:rsidRPr="00645ACE" w:rsidRDefault="00645ACE" w:rsidP="00645ACE">
      <w:pPr>
        <w:pStyle w:val="BodyTextIndent"/>
        <w:numPr>
          <w:ilvl w:val="0"/>
          <w:numId w:val="18"/>
        </w:numPr>
      </w:pPr>
      <w:r w:rsidRPr="00645ACE">
        <w:t xml:space="preserve">In patients with a history of BCG vaccination, </w:t>
      </w:r>
      <w:r w:rsidR="000B3650">
        <w:rPr>
          <w:rStyle w:val="tgc"/>
          <w:color w:val="222222"/>
          <w:lang w:val="en"/>
        </w:rPr>
        <w:t>Interferon Gamma Release Assay</w:t>
      </w:r>
      <w:r w:rsidR="000B3650">
        <w:rPr>
          <w:rStyle w:val="tgc"/>
          <w:noProof/>
          <w:color w:val="222222"/>
          <w:lang w:val="en"/>
        </w:rPr>
        <w:t xml:space="preserve"> (IGRA</w:t>
      </w:r>
      <w:r w:rsidR="000B3650">
        <w:t>)</w:t>
      </w:r>
      <w:r w:rsidR="00FC3154">
        <w:t xml:space="preserve"> blood</w:t>
      </w:r>
      <w:r w:rsidRPr="00645ACE">
        <w:t xml:space="preserve"> testing is preferred instead of tuberculin skin testing.</w:t>
      </w:r>
    </w:p>
    <w:p w14:paraId="2F88B4DA" w14:textId="77777777" w:rsidR="000B0553" w:rsidRPr="001A4105" w:rsidRDefault="000B0553" w:rsidP="000B0553"/>
    <w:p w14:paraId="2A8ED4A8" w14:textId="77777777" w:rsidR="000B0553" w:rsidRPr="001A4105" w:rsidRDefault="000B0553" w:rsidP="000B0553">
      <w:pPr>
        <w:pStyle w:val="BodyTextIndent"/>
        <w:ind w:left="0"/>
      </w:pPr>
      <w:r w:rsidRPr="001A4105">
        <w:t>Tuberculin skin tests should be interpreted 48-72 hours after intradermal placement according to the following CDC guidelines:</w:t>
      </w:r>
    </w:p>
    <w:p w14:paraId="4480F31E" w14:textId="77777777" w:rsidR="000B0553" w:rsidRPr="001A4105" w:rsidRDefault="000B0553" w:rsidP="000B0553">
      <w:pPr>
        <w:pStyle w:val="BodyTextIndent"/>
        <w:ind w:left="0"/>
      </w:pPr>
    </w:p>
    <w:p w14:paraId="21FBA7AF" w14:textId="77777777" w:rsidR="000B0553" w:rsidRPr="001A4105" w:rsidRDefault="000B0553" w:rsidP="000B0553">
      <w:pPr>
        <w:pStyle w:val="BodyTextIndent"/>
        <w:numPr>
          <w:ilvl w:val="0"/>
          <w:numId w:val="18"/>
        </w:numPr>
      </w:pPr>
      <w:r w:rsidRPr="001A4105">
        <w:rPr>
          <w:b/>
        </w:rPr>
        <w:t>&lt;</w:t>
      </w:r>
      <w:r w:rsidRPr="001A4105">
        <w:t xml:space="preserve"> 5 mm induration – consider negative</w:t>
      </w:r>
    </w:p>
    <w:p w14:paraId="4E5C999F" w14:textId="77777777" w:rsidR="000B0553" w:rsidRPr="001A4105" w:rsidRDefault="000B0553" w:rsidP="000B0553">
      <w:pPr>
        <w:pStyle w:val="BodyTextIndent"/>
        <w:ind w:left="0"/>
      </w:pPr>
    </w:p>
    <w:p w14:paraId="517E59AE" w14:textId="77777777" w:rsidR="000B0553" w:rsidRPr="001A4105" w:rsidRDefault="000B0553" w:rsidP="000B0553">
      <w:pPr>
        <w:numPr>
          <w:ilvl w:val="0"/>
          <w:numId w:val="18"/>
        </w:numPr>
      </w:pPr>
      <w:r w:rsidRPr="001A4105">
        <w:rPr>
          <w:b/>
          <w:u w:val="single"/>
        </w:rPr>
        <w:t>&gt;</w:t>
      </w:r>
      <w:r w:rsidRPr="001A4105">
        <w:t xml:space="preserve"> 5 mm induration – consider positive in a patient with HIV infection, recent contacts of active TB patients, patients with fibrotic changes on chest radiograph consistent with prior TB, patients with organ transplants, and other immunosuppressed patients</w:t>
      </w:r>
    </w:p>
    <w:p w14:paraId="774337C8" w14:textId="77777777" w:rsidR="000B0553" w:rsidRPr="001A4105" w:rsidRDefault="000B0553" w:rsidP="000B0553"/>
    <w:p w14:paraId="68BFF01C" w14:textId="77777777" w:rsidR="000B0553" w:rsidRPr="001A4105" w:rsidRDefault="000B0553" w:rsidP="000B0553">
      <w:pPr>
        <w:numPr>
          <w:ilvl w:val="0"/>
          <w:numId w:val="18"/>
        </w:numPr>
      </w:pPr>
      <w:r w:rsidRPr="001A4105">
        <w:rPr>
          <w:b/>
          <w:u w:val="single"/>
        </w:rPr>
        <w:t>&gt;</w:t>
      </w:r>
      <w:r w:rsidRPr="001A4105">
        <w:rPr>
          <w:b/>
        </w:rPr>
        <w:t xml:space="preserve"> </w:t>
      </w:r>
      <w:r w:rsidRPr="001A4105">
        <w:t xml:space="preserve">10 mm induration – consider positive in recent immigrants (within the last 5 years) from high-prevalence countries, injection drug users, patients with clinical conditions that place them at high risk: diabetes mellitus, chronic renal failure, some hematologic disorders (e.g., leukemias and lymphomas), other specific malignancies, malnutrition with weight loss of </w:t>
      </w:r>
      <w:r w:rsidRPr="001A4105">
        <w:rPr>
          <w:b/>
          <w:u w:val="single"/>
        </w:rPr>
        <w:t>&gt;</w:t>
      </w:r>
      <w:r w:rsidRPr="001A4105">
        <w:t>10% of ideal body weight, jejunoileal bypass, and adolescents exposed to adults at high-risk of TB infection</w:t>
      </w:r>
    </w:p>
    <w:p w14:paraId="266B5723" w14:textId="77777777" w:rsidR="000B0553" w:rsidRPr="001A4105" w:rsidRDefault="000B0553" w:rsidP="000B0553"/>
    <w:p w14:paraId="7EFAA1F1" w14:textId="35EAE408" w:rsidR="000B0553" w:rsidRPr="001A4105" w:rsidRDefault="000B0553" w:rsidP="000B0553">
      <w:pPr>
        <w:pStyle w:val="BodyTextIndent"/>
        <w:numPr>
          <w:ilvl w:val="0"/>
          <w:numId w:val="18"/>
        </w:numPr>
      </w:pPr>
      <w:r w:rsidRPr="001A4105">
        <w:rPr>
          <w:b/>
          <w:u w:val="single"/>
        </w:rPr>
        <w:t>&gt;</w:t>
      </w:r>
      <w:r w:rsidRPr="001A4105">
        <w:rPr>
          <w:b/>
        </w:rPr>
        <w:t xml:space="preserve"> </w:t>
      </w:r>
      <w:r w:rsidRPr="001A4105">
        <w:t xml:space="preserve">15 mm induration – consider positive in a patient with no known risk factors for TB </w:t>
      </w:r>
    </w:p>
    <w:p w14:paraId="70239EA6" w14:textId="77777777" w:rsidR="000B0553" w:rsidRPr="001A4105" w:rsidRDefault="000B0553" w:rsidP="000B0553">
      <w:pPr>
        <w:pStyle w:val="BodyTextIndent"/>
        <w:ind w:left="0"/>
      </w:pPr>
    </w:p>
    <w:p w14:paraId="218A2923" w14:textId="0B47C3F8" w:rsidR="000B0553" w:rsidRPr="001A4105" w:rsidRDefault="00A6253C" w:rsidP="000B0553">
      <w:pPr>
        <w:pStyle w:val="BodyTextIndent"/>
        <w:ind w:left="0"/>
      </w:pPr>
      <w:r>
        <w:t xml:space="preserve">Note that induration, not erythema, is measured in mm.  </w:t>
      </w:r>
      <w:r w:rsidR="000B0553" w:rsidRPr="001A4105">
        <w:t>Tuberculin skin test results should be interpreted without regard to a prior history of BCG vaccination.</w:t>
      </w:r>
    </w:p>
    <w:p w14:paraId="4C58EDAB" w14:textId="77777777" w:rsidR="000B0553" w:rsidRPr="001A4105" w:rsidRDefault="000B0553" w:rsidP="000B0553">
      <w:pPr>
        <w:pStyle w:val="BodyTextIndent"/>
        <w:ind w:left="0"/>
      </w:pPr>
    </w:p>
    <w:p w14:paraId="0AA29DAE" w14:textId="77777777" w:rsidR="000B0553" w:rsidRPr="001A4105" w:rsidRDefault="000B0553" w:rsidP="000B0553">
      <w:pPr>
        <w:pStyle w:val="BodyTextIndent"/>
        <w:ind w:left="0"/>
      </w:pPr>
      <w:r w:rsidRPr="001A4105">
        <w:t xml:space="preserve">A patient with a tuberculosis skin test (TST) conversion as defined above must have a chest x-ray to exclude active pulmonary tuberculosis.  If the radiograph is either normal or reveals only granulomas or calcification in the lung and/or regional lymph nodes, then the patient is considered to have Latent Tuberculosis Infection (LTBI). </w:t>
      </w:r>
    </w:p>
    <w:p w14:paraId="4F481FA4" w14:textId="77777777" w:rsidR="001D60FB" w:rsidRDefault="001D60FB" w:rsidP="000B0553">
      <w:pPr>
        <w:sectPr w:rsidR="001D60FB" w:rsidSect="00F36A04">
          <w:footerReference w:type="default" r:id="rId11"/>
          <w:pgSz w:w="12240" w:h="15840"/>
          <w:pgMar w:top="1440" w:right="1440" w:bottom="1440" w:left="1440" w:header="720" w:footer="720" w:gutter="0"/>
          <w:cols w:space="720"/>
          <w:docGrid w:linePitch="360"/>
        </w:sectPr>
      </w:pPr>
    </w:p>
    <w:p w14:paraId="1B87C68C" w14:textId="2219B52C" w:rsidR="000B0553" w:rsidRPr="001A4105" w:rsidRDefault="000B0553" w:rsidP="000B0553"/>
    <w:p w14:paraId="6E922381" w14:textId="77777777" w:rsidR="00FC48E5" w:rsidRDefault="000B0553" w:rsidP="00BB14F6">
      <w:pPr>
        <w:pStyle w:val="ListParagraph"/>
        <w:numPr>
          <w:ilvl w:val="0"/>
          <w:numId w:val="21"/>
        </w:numPr>
        <w:rPr>
          <w:bCs w:val="0"/>
        </w:rPr>
      </w:pPr>
      <w:r w:rsidRPr="00BB14F6">
        <w:rPr>
          <w:bCs w:val="0"/>
        </w:rPr>
        <w:t>Pharmacologic management of latent tuberculosis infection includes:</w:t>
      </w:r>
    </w:p>
    <w:p w14:paraId="55C7914D" w14:textId="77777777" w:rsidR="00F42FBF" w:rsidRDefault="00F42FBF" w:rsidP="000B0553">
      <w:pPr>
        <w:rPr>
          <w:bCs w:val="0"/>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1885"/>
        <w:gridCol w:w="1260"/>
        <w:gridCol w:w="2070"/>
        <w:gridCol w:w="4135"/>
      </w:tblGrid>
      <w:tr w:rsidR="00F42FBF" w:rsidRPr="00FC48E5" w14:paraId="422C9785" w14:textId="77777777" w:rsidTr="00FC48E5">
        <w:tc>
          <w:tcPr>
            <w:tcW w:w="1885" w:type="dxa"/>
          </w:tcPr>
          <w:p w14:paraId="7AD63580" w14:textId="316F65A6" w:rsidR="00F42FBF" w:rsidRPr="00FC48E5" w:rsidRDefault="00BE7A58" w:rsidP="000B0553">
            <w:pPr>
              <w:rPr>
                <w:bCs w:val="0"/>
                <w:sz w:val="20"/>
                <w:szCs w:val="20"/>
              </w:rPr>
            </w:pPr>
            <w:r w:rsidRPr="00FC48E5">
              <w:rPr>
                <w:bCs w:val="0"/>
                <w:sz w:val="20"/>
                <w:szCs w:val="20"/>
              </w:rPr>
              <w:t>Isoniazid &amp; R</w:t>
            </w:r>
            <w:r w:rsidR="00F42FBF" w:rsidRPr="00FC48E5">
              <w:rPr>
                <w:bCs w:val="0"/>
                <w:sz w:val="20"/>
                <w:szCs w:val="20"/>
              </w:rPr>
              <w:t>ifapentine</w:t>
            </w:r>
            <w:r w:rsidR="00CC391A">
              <w:rPr>
                <w:bCs w:val="0"/>
                <w:sz w:val="20"/>
                <w:szCs w:val="20"/>
              </w:rPr>
              <w:t>*</w:t>
            </w:r>
            <w:r w:rsidR="00851A6F" w:rsidRPr="00FC48E5">
              <w:rPr>
                <w:bCs w:val="0"/>
                <w:sz w:val="20"/>
                <w:szCs w:val="20"/>
              </w:rPr>
              <w:t xml:space="preserve"> (3HP)</w:t>
            </w:r>
          </w:p>
          <w:p w14:paraId="06CF6F7B" w14:textId="77777777" w:rsidR="00E44082" w:rsidRPr="00FC48E5" w:rsidRDefault="00E44082" w:rsidP="000B0553">
            <w:pPr>
              <w:rPr>
                <w:bCs w:val="0"/>
                <w:sz w:val="20"/>
                <w:szCs w:val="20"/>
              </w:rPr>
            </w:pPr>
          </w:p>
          <w:p w14:paraId="5EF47E73" w14:textId="097A76DF" w:rsidR="00E44082" w:rsidRPr="00FC48E5" w:rsidRDefault="00E44082" w:rsidP="000B0553">
            <w:pPr>
              <w:rPr>
                <w:bCs w:val="0"/>
                <w:sz w:val="20"/>
                <w:szCs w:val="20"/>
              </w:rPr>
            </w:pPr>
            <w:r w:rsidRPr="00FC48E5">
              <w:rPr>
                <w:bCs w:val="0"/>
                <w:sz w:val="20"/>
                <w:szCs w:val="20"/>
              </w:rPr>
              <w:t>INH 15 mg/kg (max 900 mg)</w:t>
            </w:r>
            <w:r w:rsidR="007F120E" w:rsidRPr="00FC48E5">
              <w:rPr>
                <w:bCs w:val="0"/>
                <w:sz w:val="20"/>
                <w:szCs w:val="20"/>
              </w:rPr>
              <w:t xml:space="preserve"> &amp;</w:t>
            </w:r>
          </w:p>
          <w:p w14:paraId="64A3E787" w14:textId="28567512" w:rsidR="00E44082" w:rsidRPr="00FC48E5" w:rsidRDefault="00E44082" w:rsidP="000B0553">
            <w:pPr>
              <w:rPr>
                <w:bCs w:val="0"/>
                <w:sz w:val="20"/>
                <w:szCs w:val="20"/>
              </w:rPr>
            </w:pPr>
            <w:r w:rsidRPr="00FC48E5">
              <w:rPr>
                <w:bCs w:val="0"/>
                <w:sz w:val="20"/>
                <w:szCs w:val="20"/>
              </w:rPr>
              <w:t xml:space="preserve">RPT </w:t>
            </w:r>
            <w:r w:rsidR="006A33E5">
              <w:rPr>
                <w:bCs w:val="0"/>
                <w:sz w:val="20"/>
                <w:szCs w:val="20"/>
              </w:rPr>
              <w:t>(rifapentine)</w:t>
            </w:r>
          </w:p>
          <w:p w14:paraId="7EF61981" w14:textId="77777777" w:rsidR="00BB14F6" w:rsidRPr="00FC48E5" w:rsidRDefault="00BE7A58" w:rsidP="00BE7A58">
            <w:pPr>
              <w:rPr>
                <w:bCs w:val="0"/>
                <w:sz w:val="20"/>
                <w:szCs w:val="20"/>
              </w:rPr>
            </w:pPr>
            <w:r w:rsidRPr="00FC48E5">
              <w:rPr>
                <w:bCs w:val="0"/>
                <w:sz w:val="20"/>
                <w:szCs w:val="20"/>
                <w:u w:val="single"/>
              </w:rPr>
              <w:t>&gt;</w:t>
            </w:r>
            <w:r w:rsidR="00BB14F6" w:rsidRPr="00FC48E5">
              <w:rPr>
                <w:bCs w:val="0"/>
                <w:sz w:val="20"/>
                <w:szCs w:val="20"/>
              </w:rPr>
              <w:t>50</w:t>
            </w:r>
            <w:r w:rsidRPr="00FC48E5">
              <w:rPr>
                <w:bCs w:val="0"/>
                <w:sz w:val="20"/>
                <w:szCs w:val="20"/>
              </w:rPr>
              <w:t xml:space="preserve"> </w:t>
            </w:r>
            <w:r w:rsidR="00BB14F6" w:rsidRPr="00FC48E5">
              <w:rPr>
                <w:bCs w:val="0"/>
                <w:sz w:val="20"/>
                <w:szCs w:val="20"/>
              </w:rPr>
              <w:t>kg</w:t>
            </w:r>
            <w:r w:rsidR="004600B2" w:rsidRPr="00FC48E5">
              <w:rPr>
                <w:bCs w:val="0"/>
                <w:sz w:val="20"/>
                <w:szCs w:val="20"/>
              </w:rPr>
              <w:t>-</w:t>
            </w:r>
            <w:r w:rsidR="00BB14F6" w:rsidRPr="00FC48E5">
              <w:rPr>
                <w:bCs w:val="0"/>
                <w:sz w:val="20"/>
                <w:szCs w:val="20"/>
              </w:rPr>
              <w:t>900 mg</w:t>
            </w:r>
          </w:p>
          <w:p w14:paraId="423D668B" w14:textId="77777777" w:rsidR="00BE7A58" w:rsidRPr="00FC48E5" w:rsidRDefault="00BE7A58" w:rsidP="00BE7A58">
            <w:pPr>
              <w:rPr>
                <w:bCs w:val="0"/>
                <w:sz w:val="20"/>
                <w:szCs w:val="20"/>
              </w:rPr>
            </w:pPr>
            <w:r w:rsidRPr="00FC48E5">
              <w:rPr>
                <w:bCs w:val="0"/>
                <w:sz w:val="20"/>
                <w:szCs w:val="20"/>
              </w:rPr>
              <w:t>(max 900 mg)</w:t>
            </w:r>
          </w:p>
        </w:tc>
        <w:tc>
          <w:tcPr>
            <w:tcW w:w="1260" w:type="dxa"/>
          </w:tcPr>
          <w:p w14:paraId="4893C5ED" w14:textId="4D69B623" w:rsidR="00F42FBF" w:rsidRPr="00FC48E5" w:rsidRDefault="00F42FBF" w:rsidP="000B0553">
            <w:pPr>
              <w:rPr>
                <w:bCs w:val="0"/>
                <w:sz w:val="20"/>
                <w:szCs w:val="20"/>
              </w:rPr>
            </w:pPr>
            <w:r w:rsidRPr="00FC48E5">
              <w:rPr>
                <w:bCs w:val="0"/>
                <w:sz w:val="20"/>
                <w:szCs w:val="20"/>
              </w:rPr>
              <w:t>3 months</w:t>
            </w:r>
          </w:p>
        </w:tc>
        <w:tc>
          <w:tcPr>
            <w:tcW w:w="2070" w:type="dxa"/>
          </w:tcPr>
          <w:p w14:paraId="681CF05C" w14:textId="199B62C1" w:rsidR="00F42FBF" w:rsidRPr="00FC48E5" w:rsidRDefault="00F42FBF" w:rsidP="000B0553">
            <w:pPr>
              <w:rPr>
                <w:bCs w:val="0"/>
                <w:sz w:val="20"/>
                <w:szCs w:val="20"/>
              </w:rPr>
            </w:pPr>
            <w:r w:rsidRPr="00FC48E5">
              <w:rPr>
                <w:bCs w:val="0"/>
                <w:sz w:val="20"/>
                <w:szCs w:val="20"/>
              </w:rPr>
              <w:t>Once per week</w:t>
            </w:r>
            <w:r w:rsidR="00495ADE">
              <w:rPr>
                <w:bCs w:val="0"/>
                <w:sz w:val="20"/>
                <w:szCs w:val="20"/>
              </w:rPr>
              <w:t>*</w:t>
            </w:r>
            <w:r w:rsidR="00CC391A">
              <w:rPr>
                <w:bCs w:val="0"/>
                <w:sz w:val="20"/>
                <w:szCs w:val="20"/>
              </w:rPr>
              <w:t>*</w:t>
            </w:r>
            <w:r w:rsidR="00495ADE">
              <w:rPr>
                <w:bCs w:val="0"/>
                <w:sz w:val="20"/>
                <w:szCs w:val="20"/>
              </w:rPr>
              <w:t xml:space="preserve"> with</w:t>
            </w:r>
            <w:r w:rsidRPr="00FC48E5">
              <w:rPr>
                <w:bCs w:val="0"/>
                <w:sz w:val="20"/>
                <w:szCs w:val="20"/>
              </w:rPr>
              <w:t xml:space="preserve"> direct observation therapy (DOT)</w:t>
            </w:r>
            <w:r w:rsidR="00EB4D64" w:rsidRPr="00FC48E5">
              <w:rPr>
                <w:bCs w:val="0"/>
                <w:sz w:val="20"/>
                <w:szCs w:val="20"/>
              </w:rPr>
              <w:t xml:space="preserve"> or self-administered therapy (SAT)</w:t>
            </w:r>
          </w:p>
        </w:tc>
        <w:tc>
          <w:tcPr>
            <w:tcW w:w="4135" w:type="dxa"/>
          </w:tcPr>
          <w:p w14:paraId="24DCDD14" w14:textId="77777777" w:rsidR="00FE4358" w:rsidRDefault="00FE4358" w:rsidP="00FE4358">
            <w:pPr>
              <w:rPr>
                <w:bCs w:val="0"/>
                <w:sz w:val="20"/>
                <w:szCs w:val="20"/>
              </w:rPr>
            </w:pPr>
            <w:r>
              <w:rPr>
                <w:bCs w:val="0"/>
                <w:sz w:val="20"/>
                <w:szCs w:val="20"/>
              </w:rPr>
              <w:t>Preferred regimen with strong recommendation.</w:t>
            </w:r>
          </w:p>
          <w:p w14:paraId="4FCDC343" w14:textId="77777777" w:rsidR="00FE4358" w:rsidRDefault="00FE4358" w:rsidP="000B0553">
            <w:pPr>
              <w:rPr>
                <w:bCs w:val="0"/>
                <w:sz w:val="20"/>
                <w:szCs w:val="20"/>
              </w:rPr>
            </w:pPr>
          </w:p>
          <w:p w14:paraId="393DDC67" w14:textId="51F56FC5" w:rsidR="00F42FBF" w:rsidRPr="00FC48E5" w:rsidRDefault="00F42FBF" w:rsidP="000B0553">
            <w:pPr>
              <w:rPr>
                <w:bCs w:val="0"/>
                <w:sz w:val="20"/>
                <w:szCs w:val="20"/>
              </w:rPr>
            </w:pPr>
            <w:r w:rsidRPr="00FC48E5">
              <w:rPr>
                <w:bCs w:val="0"/>
                <w:sz w:val="20"/>
                <w:szCs w:val="20"/>
              </w:rPr>
              <w:t xml:space="preserve">Treatment </w:t>
            </w:r>
            <w:r w:rsidR="00851A6F" w:rsidRPr="00FC48E5">
              <w:rPr>
                <w:bCs w:val="0"/>
                <w:sz w:val="20"/>
                <w:szCs w:val="20"/>
              </w:rPr>
              <w:t xml:space="preserve">recommended </w:t>
            </w:r>
            <w:r w:rsidRPr="00FC48E5">
              <w:rPr>
                <w:bCs w:val="0"/>
                <w:sz w:val="20"/>
                <w:szCs w:val="20"/>
              </w:rPr>
              <w:t>for</w:t>
            </w:r>
            <w:r w:rsidR="00E44082" w:rsidRPr="00FC48E5">
              <w:rPr>
                <w:bCs w:val="0"/>
                <w:sz w:val="20"/>
                <w:szCs w:val="20"/>
              </w:rPr>
              <w:t xml:space="preserve"> individuals</w:t>
            </w:r>
            <w:r w:rsidRPr="00FC48E5">
              <w:rPr>
                <w:bCs w:val="0"/>
                <w:sz w:val="20"/>
                <w:szCs w:val="20"/>
              </w:rPr>
              <w:t>:</w:t>
            </w:r>
          </w:p>
          <w:p w14:paraId="153D333D" w14:textId="1F1B2BD8" w:rsidR="00F42FBF" w:rsidRPr="00794B72" w:rsidRDefault="00F42FBF" w:rsidP="00794B72">
            <w:pPr>
              <w:pStyle w:val="ListParagraph"/>
              <w:numPr>
                <w:ilvl w:val="0"/>
                <w:numId w:val="24"/>
              </w:numPr>
              <w:rPr>
                <w:bCs w:val="0"/>
                <w:sz w:val="20"/>
                <w:szCs w:val="20"/>
              </w:rPr>
            </w:pPr>
            <w:r w:rsidRPr="00794B72">
              <w:rPr>
                <w:bCs w:val="0"/>
                <w:sz w:val="20"/>
                <w:szCs w:val="20"/>
                <w:u w:val="single"/>
              </w:rPr>
              <w:t>&gt;</w:t>
            </w:r>
            <w:r w:rsidRPr="00794B72">
              <w:rPr>
                <w:bCs w:val="0"/>
                <w:sz w:val="20"/>
                <w:szCs w:val="20"/>
              </w:rPr>
              <w:t xml:space="preserve">2 years </w:t>
            </w:r>
            <w:r w:rsidR="00BE7A58" w:rsidRPr="00794B72">
              <w:rPr>
                <w:bCs w:val="0"/>
                <w:sz w:val="20"/>
                <w:szCs w:val="20"/>
              </w:rPr>
              <w:t xml:space="preserve">of </w:t>
            </w:r>
            <w:r w:rsidRPr="00794B72">
              <w:rPr>
                <w:bCs w:val="0"/>
                <w:sz w:val="20"/>
                <w:szCs w:val="20"/>
              </w:rPr>
              <w:t>age</w:t>
            </w:r>
          </w:p>
          <w:p w14:paraId="2BDB6421" w14:textId="79284A98" w:rsidR="00851A6F" w:rsidRPr="00794B72" w:rsidRDefault="00851A6F" w:rsidP="00794B72">
            <w:pPr>
              <w:pStyle w:val="ListParagraph"/>
              <w:numPr>
                <w:ilvl w:val="0"/>
                <w:numId w:val="24"/>
              </w:numPr>
              <w:rPr>
                <w:bCs w:val="0"/>
                <w:sz w:val="20"/>
                <w:szCs w:val="20"/>
              </w:rPr>
            </w:pPr>
            <w:r w:rsidRPr="00794B72">
              <w:rPr>
                <w:bCs w:val="0"/>
                <w:sz w:val="20"/>
                <w:szCs w:val="20"/>
              </w:rPr>
              <w:t>In persons who have HIV infection, including AIDS</w:t>
            </w:r>
            <w:r w:rsidR="005E181F" w:rsidRPr="00794B72">
              <w:rPr>
                <w:bCs w:val="0"/>
                <w:sz w:val="20"/>
                <w:szCs w:val="20"/>
              </w:rPr>
              <w:t>**</w:t>
            </w:r>
            <w:r w:rsidR="00CC391A" w:rsidRPr="00794B72">
              <w:rPr>
                <w:bCs w:val="0"/>
                <w:sz w:val="20"/>
                <w:szCs w:val="20"/>
              </w:rPr>
              <w:t>*</w:t>
            </w:r>
          </w:p>
          <w:p w14:paraId="37DB532E" w14:textId="77777777" w:rsidR="00FC48E5" w:rsidRPr="00FC48E5" w:rsidRDefault="00FC48E5" w:rsidP="00FC48E5">
            <w:pPr>
              <w:rPr>
                <w:bCs w:val="0"/>
                <w:sz w:val="20"/>
                <w:szCs w:val="20"/>
              </w:rPr>
            </w:pPr>
          </w:p>
          <w:p w14:paraId="67E35A23" w14:textId="77777777" w:rsidR="00F42FBF" w:rsidRPr="00FC48E5" w:rsidRDefault="00F42FBF" w:rsidP="000B0553">
            <w:pPr>
              <w:rPr>
                <w:bCs w:val="0"/>
                <w:sz w:val="20"/>
                <w:szCs w:val="20"/>
              </w:rPr>
            </w:pPr>
            <w:r w:rsidRPr="00FC48E5">
              <w:rPr>
                <w:bCs w:val="0"/>
                <w:sz w:val="20"/>
                <w:szCs w:val="20"/>
              </w:rPr>
              <w:t xml:space="preserve">Not recommended for </w:t>
            </w:r>
            <w:r w:rsidR="00E44082" w:rsidRPr="00FC48E5">
              <w:rPr>
                <w:bCs w:val="0"/>
                <w:sz w:val="20"/>
                <w:szCs w:val="20"/>
              </w:rPr>
              <w:t>individuals</w:t>
            </w:r>
            <w:r w:rsidRPr="00FC48E5">
              <w:rPr>
                <w:bCs w:val="0"/>
                <w:sz w:val="20"/>
                <w:szCs w:val="20"/>
              </w:rPr>
              <w:t xml:space="preserve"> who are:</w:t>
            </w:r>
          </w:p>
          <w:p w14:paraId="1805ECA6" w14:textId="19C2AA2C" w:rsidR="00F42FBF" w:rsidRPr="00FC48E5" w:rsidRDefault="00F42FBF" w:rsidP="00FC48E5">
            <w:pPr>
              <w:numPr>
                <w:ilvl w:val="0"/>
                <w:numId w:val="19"/>
              </w:numPr>
              <w:rPr>
                <w:sz w:val="20"/>
                <w:szCs w:val="20"/>
              </w:rPr>
            </w:pPr>
            <w:r w:rsidRPr="00FC48E5">
              <w:rPr>
                <w:sz w:val="20"/>
                <w:szCs w:val="20"/>
              </w:rPr>
              <w:t>pregnant or expect to become</w:t>
            </w:r>
            <w:r w:rsidR="00FC48E5" w:rsidRPr="00FC48E5">
              <w:rPr>
                <w:sz w:val="20"/>
                <w:szCs w:val="20"/>
              </w:rPr>
              <w:t xml:space="preserve"> </w:t>
            </w:r>
            <w:r w:rsidRPr="00FC48E5">
              <w:rPr>
                <w:sz w:val="20"/>
                <w:szCs w:val="20"/>
              </w:rPr>
              <w:t>pregnant within 12 weeks</w:t>
            </w:r>
            <w:r w:rsidR="00BF0841">
              <w:rPr>
                <w:sz w:val="20"/>
                <w:szCs w:val="20"/>
              </w:rPr>
              <w:t>***</w:t>
            </w:r>
            <w:r w:rsidR="00CC391A">
              <w:rPr>
                <w:sz w:val="20"/>
                <w:szCs w:val="20"/>
              </w:rPr>
              <w:t>*</w:t>
            </w:r>
          </w:p>
          <w:p w14:paraId="4C35ACA2" w14:textId="4B677C28" w:rsidR="00F42FBF" w:rsidRPr="00FC48E5" w:rsidRDefault="00F42FBF" w:rsidP="00FC48E5">
            <w:pPr>
              <w:numPr>
                <w:ilvl w:val="0"/>
                <w:numId w:val="19"/>
              </w:numPr>
              <w:rPr>
                <w:bCs w:val="0"/>
                <w:sz w:val="20"/>
                <w:szCs w:val="20"/>
              </w:rPr>
            </w:pPr>
            <w:r w:rsidRPr="00FC48E5">
              <w:rPr>
                <w:sz w:val="20"/>
                <w:szCs w:val="20"/>
              </w:rPr>
              <w:t>presumed infected with INH or RIF-resistant TB</w:t>
            </w:r>
          </w:p>
        </w:tc>
      </w:tr>
      <w:tr w:rsidR="00F42FBF" w:rsidRPr="00FC48E5" w14:paraId="7A0CD24C" w14:textId="77777777" w:rsidTr="00FC48E5">
        <w:tc>
          <w:tcPr>
            <w:tcW w:w="1885" w:type="dxa"/>
          </w:tcPr>
          <w:p w14:paraId="1A3AA00D" w14:textId="77777777" w:rsidR="00446DA2" w:rsidRPr="00FC48E5" w:rsidRDefault="00446DA2" w:rsidP="00446DA2">
            <w:pPr>
              <w:rPr>
                <w:bCs w:val="0"/>
                <w:sz w:val="20"/>
                <w:szCs w:val="20"/>
              </w:rPr>
            </w:pPr>
            <w:r w:rsidRPr="00FC48E5">
              <w:rPr>
                <w:bCs w:val="0"/>
                <w:sz w:val="20"/>
                <w:szCs w:val="20"/>
              </w:rPr>
              <w:t>Rifampin</w:t>
            </w:r>
          </w:p>
          <w:p w14:paraId="561AC273" w14:textId="77777777" w:rsidR="00446DA2" w:rsidRPr="00FC48E5" w:rsidRDefault="00446DA2" w:rsidP="00446DA2">
            <w:pPr>
              <w:rPr>
                <w:bCs w:val="0"/>
                <w:sz w:val="20"/>
                <w:szCs w:val="20"/>
              </w:rPr>
            </w:pPr>
            <w:r w:rsidRPr="00FC48E5">
              <w:rPr>
                <w:bCs w:val="0"/>
                <w:sz w:val="20"/>
                <w:szCs w:val="20"/>
              </w:rPr>
              <w:t xml:space="preserve">RIF 10 mg/kg </w:t>
            </w:r>
          </w:p>
          <w:p w14:paraId="09C7F512" w14:textId="5BA2AAAA" w:rsidR="00F42FBF" w:rsidRPr="00FC48E5" w:rsidRDefault="00446DA2" w:rsidP="00446DA2">
            <w:pPr>
              <w:rPr>
                <w:bCs w:val="0"/>
                <w:sz w:val="20"/>
                <w:szCs w:val="20"/>
              </w:rPr>
            </w:pPr>
            <w:r w:rsidRPr="00FC48E5">
              <w:rPr>
                <w:bCs w:val="0"/>
                <w:sz w:val="20"/>
                <w:szCs w:val="20"/>
              </w:rPr>
              <w:t>(max 600 mg)</w:t>
            </w:r>
          </w:p>
        </w:tc>
        <w:tc>
          <w:tcPr>
            <w:tcW w:w="1260" w:type="dxa"/>
          </w:tcPr>
          <w:p w14:paraId="571165BD" w14:textId="4363D4E6" w:rsidR="00F42FBF" w:rsidRPr="00FC48E5" w:rsidRDefault="00446DA2" w:rsidP="000B0553">
            <w:pPr>
              <w:rPr>
                <w:bCs w:val="0"/>
                <w:sz w:val="20"/>
                <w:szCs w:val="20"/>
              </w:rPr>
            </w:pPr>
            <w:r w:rsidRPr="00FC48E5">
              <w:rPr>
                <w:bCs w:val="0"/>
                <w:sz w:val="20"/>
                <w:szCs w:val="20"/>
              </w:rPr>
              <w:t>4 months</w:t>
            </w:r>
          </w:p>
        </w:tc>
        <w:tc>
          <w:tcPr>
            <w:tcW w:w="2070" w:type="dxa"/>
          </w:tcPr>
          <w:p w14:paraId="5178F853" w14:textId="236273CF" w:rsidR="00F42FBF" w:rsidRPr="00FC48E5" w:rsidRDefault="00446DA2" w:rsidP="00F42FBF">
            <w:pPr>
              <w:rPr>
                <w:bCs w:val="0"/>
                <w:sz w:val="20"/>
                <w:szCs w:val="20"/>
              </w:rPr>
            </w:pPr>
            <w:r w:rsidRPr="00FC48E5">
              <w:rPr>
                <w:bCs w:val="0"/>
                <w:sz w:val="20"/>
                <w:szCs w:val="20"/>
              </w:rPr>
              <w:t>Daily</w:t>
            </w:r>
          </w:p>
        </w:tc>
        <w:tc>
          <w:tcPr>
            <w:tcW w:w="4135" w:type="dxa"/>
          </w:tcPr>
          <w:p w14:paraId="727343C6" w14:textId="77777777" w:rsidR="00FE4358" w:rsidRDefault="00FE4358" w:rsidP="00FE4358">
            <w:pPr>
              <w:rPr>
                <w:bCs w:val="0"/>
                <w:sz w:val="20"/>
                <w:szCs w:val="20"/>
              </w:rPr>
            </w:pPr>
            <w:r>
              <w:rPr>
                <w:bCs w:val="0"/>
                <w:sz w:val="20"/>
                <w:szCs w:val="20"/>
              </w:rPr>
              <w:t>Preferred regimen with strong recommendation.</w:t>
            </w:r>
          </w:p>
          <w:p w14:paraId="788372F6" w14:textId="77777777" w:rsidR="00F42FBF" w:rsidRDefault="00F42FBF" w:rsidP="00FE4358">
            <w:pPr>
              <w:rPr>
                <w:sz w:val="20"/>
                <w:szCs w:val="20"/>
              </w:rPr>
            </w:pPr>
          </w:p>
          <w:p w14:paraId="07CDB7B2" w14:textId="33C62F1D" w:rsidR="006A33E5" w:rsidRPr="00FC48E5" w:rsidRDefault="006A33E5" w:rsidP="00FE4358">
            <w:pPr>
              <w:rPr>
                <w:sz w:val="20"/>
                <w:szCs w:val="20"/>
              </w:rPr>
            </w:pPr>
            <w:r>
              <w:rPr>
                <w:sz w:val="20"/>
                <w:szCs w:val="20"/>
              </w:rPr>
              <w:t>Pregnancy Category C</w:t>
            </w:r>
          </w:p>
        </w:tc>
      </w:tr>
    </w:tbl>
    <w:p w14:paraId="01DE1E82" w14:textId="7544FCB0" w:rsidR="00FC48E5" w:rsidRDefault="00FC48E5" w:rsidP="000B0553">
      <w:pPr>
        <w:rPr>
          <w:bCs w:val="0"/>
        </w:rPr>
      </w:pPr>
    </w:p>
    <w:p w14:paraId="729EE40B" w14:textId="72CFAD01" w:rsidR="003B368D" w:rsidRDefault="003B368D" w:rsidP="00F04186">
      <w:pPr>
        <w:ind w:left="360"/>
        <w:rPr>
          <w:bCs w:val="0"/>
        </w:rPr>
      </w:pPr>
      <w:r>
        <w:rPr>
          <w:bCs w:val="0"/>
        </w:rPr>
        <w:t>Three additional regimens have conditional recommendations and require daily dosing for 3, 6, or 9 months.</w:t>
      </w:r>
      <w:bookmarkStart w:id="0" w:name="_GoBack"/>
      <w:bookmarkEnd w:id="0"/>
    </w:p>
    <w:p w14:paraId="242D020A" w14:textId="6DB40B14" w:rsidR="00CC391A" w:rsidRDefault="00CC391A" w:rsidP="00F04186">
      <w:pPr>
        <w:ind w:left="360"/>
        <w:rPr>
          <w:bCs w:val="0"/>
        </w:rPr>
      </w:pPr>
    </w:p>
    <w:p w14:paraId="2F19E91D" w14:textId="73068A10" w:rsidR="00CC391A" w:rsidRPr="00CC391A" w:rsidRDefault="00CC391A" w:rsidP="00F04186">
      <w:pPr>
        <w:ind w:left="360"/>
        <w:rPr>
          <w:bCs w:val="0"/>
        </w:rPr>
      </w:pPr>
      <w:r>
        <w:t xml:space="preserve">* </w:t>
      </w:r>
      <w:r w:rsidRPr="007A5A8F">
        <w:t>Prescribing providers or pharmacists who are unfamiliar with rifampin and rifapentine might confuse the two drugs. They are not interchangeable, and caution should be taken to ensure that patients receive the correct medication for the intended regimen.</w:t>
      </w:r>
    </w:p>
    <w:p w14:paraId="00E3ED65" w14:textId="77777777" w:rsidR="003B368D" w:rsidRDefault="003B368D" w:rsidP="00F04186">
      <w:pPr>
        <w:ind w:left="360"/>
        <w:rPr>
          <w:bCs w:val="0"/>
        </w:rPr>
      </w:pPr>
    </w:p>
    <w:p w14:paraId="67D4372F" w14:textId="7081356B" w:rsidR="00E44082" w:rsidRDefault="00E44082" w:rsidP="00F04186">
      <w:pPr>
        <w:ind w:left="360"/>
        <w:rPr>
          <w:bCs w:val="0"/>
        </w:rPr>
      </w:pPr>
      <w:r>
        <w:rPr>
          <w:bCs w:val="0"/>
        </w:rPr>
        <w:t>*</w:t>
      </w:r>
      <w:r w:rsidR="00CC391A">
        <w:rPr>
          <w:bCs w:val="0"/>
        </w:rPr>
        <w:t>*</w:t>
      </w:r>
      <w:r w:rsidR="00FC48E5">
        <w:rPr>
          <w:bCs w:val="0"/>
        </w:rPr>
        <w:t xml:space="preserve"> </w:t>
      </w:r>
      <w:r w:rsidR="00EB4D64">
        <w:rPr>
          <w:bCs w:val="0"/>
        </w:rPr>
        <w:t>Health care provider</w:t>
      </w:r>
      <w:r w:rsidR="00794B72">
        <w:rPr>
          <w:bCs w:val="0"/>
        </w:rPr>
        <w:t>s</w:t>
      </w:r>
      <w:r w:rsidR="00EB4D64">
        <w:rPr>
          <w:bCs w:val="0"/>
        </w:rPr>
        <w:t xml:space="preserve"> can choose the mode of administration as either DOT or SAT. </w:t>
      </w:r>
      <w:r w:rsidR="008B74C0">
        <w:rPr>
          <w:bCs w:val="0"/>
        </w:rPr>
        <w:t>Given ease of DOT in Job Corps setting, this will likely be the preferred option for centers</w:t>
      </w:r>
      <w:r w:rsidR="00AA357B">
        <w:rPr>
          <w:bCs w:val="0"/>
        </w:rPr>
        <w:t>.</w:t>
      </w:r>
    </w:p>
    <w:p w14:paraId="128B8403" w14:textId="77777777" w:rsidR="00FC48E5" w:rsidRDefault="00FC48E5" w:rsidP="00F04186">
      <w:pPr>
        <w:ind w:left="360"/>
        <w:rPr>
          <w:bCs w:val="0"/>
        </w:rPr>
      </w:pPr>
    </w:p>
    <w:p w14:paraId="2247D0FD" w14:textId="6DFF3936" w:rsidR="00BB14F6" w:rsidRDefault="00BB14F6" w:rsidP="00F04186">
      <w:pPr>
        <w:ind w:left="360"/>
        <w:rPr>
          <w:bCs w:val="0"/>
        </w:rPr>
      </w:pPr>
      <w:r>
        <w:rPr>
          <w:bCs w:val="0"/>
        </w:rPr>
        <w:t>**</w:t>
      </w:r>
      <w:r w:rsidR="00CC391A">
        <w:rPr>
          <w:bCs w:val="0"/>
        </w:rPr>
        <w:t>*</w:t>
      </w:r>
      <w:r w:rsidR="00FC48E5">
        <w:rPr>
          <w:bCs w:val="0"/>
        </w:rPr>
        <w:t xml:space="preserve"> </w:t>
      </w:r>
      <w:r w:rsidR="005E181F">
        <w:rPr>
          <w:bCs w:val="0"/>
        </w:rPr>
        <w:t>3HP</w:t>
      </w:r>
      <w:r w:rsidR="00794B72">
        <w:rPr>
          <w:bCs w:val="0"/>
        </w:rPr>
        <w:t xml:space="preserve"> is the</w:t>
      </w:r>
      <w:r w:rsidR="005E181F">
        <w:rPr>
          <w:bCs w:val="0"/>
        </w:rPr>
        <w:t xml:space="preserve"> recommended treatment of LTBI in persons with </w:t>
      </w:r>
      <w:r>
        <w:rPr>
          <w:bCs w:val="0"/>
        </w:rPr>
        <w:t>HIV infect</w:t>
      </w:r>
      <w:r w:rsidR="005E181F">
        <w:rPr>
          <w:bCs w:val="0"/>
        </w:rPr>
        <w:t xml:space="preserve">ion including AIDS, who are otherwise healthy and not taking antiretroviral medications or </w:t>
      </w:r>
      <w:r w:rsidR="00794B72">
        <w:rPr>
          <w:bCs w:val="0"/>
        </w:rPr>
        <w:t xml:space="preserve">are </w:t>
      </w:r>
      <w:r w:rsidR="005E181F">
        <w:rPr>
          <w:bCs w:val="0"/>
        </w:rPr>
        <w:t>taking antiretroviral medications with acceptable drug-drug interactions with rifampin</w:t>
      </w:r>
      <w:r>
        <w:rPr>
          <w:bCs w:val="0"/>
        </w:rPr>
        <w:t xml:space="preserve"> </w:t>
      </w:r>
    </w:p>
    <w:p w14:paraId="6E8EDE37" w14:textId="77777777" w:rsidR="00FC48E5" w:rsidRDefault="00FC48E5" w:rsidP="00F04186">
      <w:pPr>
        <w:ind w:left="360"/>
        <w:rPr>
          <w:bCs w:val="0"/>
        </w:rPr>
      </w:pPr>
    </w:p>
    <w:p w14:paraId="38294C1B" w14:textId="7DA5F0A5" w:rsidR="00BB14F6" w:rsidRDefault="00BB14F6" w:rsidP="00F04186">
      <w:pPr>
        <w:ind w:left="360"/>
        <w:rPr>
          <w:bCs w:val="0"/>
        </w:rPr>
      </w:pPr>
      <w:r>
        <w:rPr>
          <w:bCs w:val="0"/>
        </w:rPr>
        <w:t>***</w:t>
      </w:r>
      <w:r w:rsidR="00CC391A">
        <w:rPr>
          <w:bCs w:val="0"/>
        </w:rPr>
        <w:t>*</w:t>
      </w:r>
      <w:r w:rsidR="00FC48E5">
        <w:rPr>
          <w:bCs w:val="0"/>
        </w:rPr>
        <w:t xml:space="preserve"> </w:t>
      </w:r>
      <w:r w:rsidR="00095016">
        <w:rPr>
          <w:bCs w:val="0"/>
        </w:rPr>
        <w:t>I</w:t>
      </w:r>
      <w:r w:rsidR="00A245AA">
        <w:rPr>
          <w:bCs w:val="0"/>
        </w:rPr>
        <w:t xml:space="preserve">n pregnancy, </w:t>
      </w:r>
      <w:r>
        <w:rPr>
          <w:bCs w:val="0"/>
        </w:rPr>
        <w:t>consider delaying treatment until after delivery unless high risk for progression to active disease (recent TB exposure, HIV infected)</w:t>
      </w:r>
    </w:p>
    <w:p w14:paraId="296A0C3D" w14:textId="77777777" w:rsidR="007F120E" w:rsidRDefault="007F120E" w:rsidP="000B0553">
      <w:pPr>
        <w:rPr>
          <w:bCs w:val="0"/>
        </w:rPr>
      </w:pPr>
    </w:p>
    <w:p w14:paraId="16631F03" w14:textId="02C32A2D" w:rsidR="00FC48E5" w:rsidRDefault="00AA357B" w:rsidP="00F04186">
      <w:pPr>
        <w:ind w:left="360"/>
        <w:rPr>
          <w:bCs w:val="0"/>
        </w:rPr>
      </w:pPr>
      <w:r>
        <w:rPr>
          <w:bCs w:val="0"/>
        </w:rPr>
        <w:t xml:space="preserve">Ref:  MMWR 69(1) February 14, 2020 </w:t>
      </w:r>
      <w:hyperlink r:id="rId12" w:history="1">
        <w:r w:rsidR="00F04186" w:rsidRPr="00E72778">
          <w:rPr>
            <w:rStyle w:val="Hyperlink"/>
            <w:bCs w:val="0"/>
          </w:rPr>
          <w:t>https://www.cdc.gov/mmwr/volumes/69/rr/rr6901</w:t>
        </w:r>
      </w:hyperlink>
      <w:r w:rsidR="00F04186">
        <w:rPr>
          <w:bCs w:val="0"/>
        </w:rPr>
        <w:t xml:space="preserve"> </w:t>
      </w:r>
    </w:p>
    <w:p w14:paraId="44831A03" w14:textId="77777777" w:rsidR="00561312" w:rsidRDefault="00561312" w:rsidP="00AA357B">
      <w:pPr>
        <w:ind w:left="1080"/>
        <w:rPr>
          <w:bCs w:val="0"/>
        </w:rPr>
      </w:pPr>
    </w:p>
    <w:p w14:paraId="2E38885C" w14:textId="451791DC" w:rsidR="00561312" w:rsidRDefault="00561312" w:rsidP="00561312">
      <w:pPr>
        <w:pStyle w:val="ListParagraph"/>
        <w:numPr>
          <w:ilvl w:val="0"/>
          <w:numId w:val="21"/>
        </w:numPr>
      </w:pPr>
      <w:r>
        <w:t>Educate students about potential side effects and the need to notify a health provider immediately if experiencing flu-like symptoms or other reactions such as nausea, vomiting, abdominal pain, loss of appetite, yellow skin or eyes, dark urine, fever, rash, numbness of hands or feet.</w:t>
      </w:r>
      <w:r>
        <w:br/>
      </w:r>
      <w:r>
        <w:lastRenderedPageBreak/>
        <w:br/>
        <w:t>Rifapentine can reduce the effectiveness of hormonal contraceptives; therefore, women who use hormonal contraceptives should add or switch to a barrier method or a long-acting reversible option.</w:t>
      </w:r>
    </w:p>
    <w:p w14:paraId="3ADA006E" w14:textId="77777777" w:rsidR="00CC391A" w:rsidRDefault="00CC391A" w:rsidP="00CC391A"/>
    <w:p w14:paraId="3466861D" w14:textId="1AB6EC50" w:rsidR="000B0553" w:rsidRPr="001A4105" w:rsidRDefault="000B0553" w:rsidP="00CC391A">
      <w:pPr>
        <w:pStyle w:val="ListParagraph"/>
        <w:numPr>
          <w:ilvl w:val="0"/>
          <w:numId w:val="21"/>
        </w:numPr>
      </w:pPr>
      <w:r w:rsidRPr="001A4105">
        <w:t xml:space="preserve">Pyridoxine </w:t>
      </w:r>
      <w:r w:rsidR="00FC3154">
        <w:t xml:space="preserve">(vitamin B6) </w:t>
      </w:r>
      <w:r w:rsidRPr="001A4105">
        <w:t>supplements need not be given with isoniazid in otherwise healthy youth</w:t>
      </w:r>
      <w:r w:rsidR="007F120E">
        <w:t>, unless pregnant</w:t>
      </w:r>
      <w:r w:rsidRPr="001A4105">
        <w:t>.</w:t>
      </w:r>
    </w:p>
    <w:p w14:paraId="5C33CFE3" w14:textId="77777777" w:rsidR="000B0553" w:rsidRPr="001A4105" w:rsidRDefault="000B0553" w:rsidP="000B0553"/>
    <w:p w14:paraId="4ABB3100" w14:textId="38E11BEF" w:rsidR="00F86181" w:rsidRDefault="00F86181" w:rsidP="00BB14F6">
      <w:pPr>
        <w:numPr>
          <w:ilvl w:val="0"/>
          <w:numId w:val="21"/>
        </w:numPr>
      </w:pPr>
      <w:r>
        <w:t>Baseline liver function testing is not routinely necessary in healthy students</w:t>
      </w:r>
      <w:r w:rsidR="007F120E" w:rsidRPr="007F120E">
        <w:t xml:space="preserve"> </w:t>
      </w:r>
      <w:r w:rsidR="007F120E">
        <w:t>with no history of liver disease and</w:t>
      </w:r>
      <w:r>
        <w:t xml:space="preserve"> </w:t>
      </w:r>
      <w:r w:rsidR="00FC3154">
        <w:t xml:space="preserve">taking </w:t>
      </w:r>
      <w:r>
        <w:t xml:space="preserve">no medications </w:t>
      </w:r>
      <w:r w:rsidR="005E635B">
        <w:t>that may alter liver function</w:t>
      </w:r>
      <w:r>
        <w:t xml:space="preserve">.  </w:t>
      </w:r>
      <w:r w:rsidR="00EA07FE">
        <w:t>Testing</w:t>
      </w:r>
      <w:r>
        <w:t xml:space="preserve"> is recommended at baseline for students with liver disease, HIV</w:t>
      </w:r>
      <w:r w:rsidR="005E635B">
        <w:t xml:space="preserve"> infection</w:t>
      </w:r>
      <w:r>
        <w:t xml:space="preserve">, regular alcohol use, and pregnancy.  It can be considered for students taking chronic medications that may alter liver function.  </w:t>
      </w:r>
      <w:r w:rsidR="0038395F">
        <w:br/>
      </w:r>
    </w:p>
    <w:p w14:paraId="4406B0DE" w14:textId="5486350A" w:rsidR="000B0553" w:rsidRPr="001A4105" w:rsidRDefault="00F86181" w:rsidP="00BB14F6">
      <w:pPr>
        <w:numPr>
          <w:ilvl w:val="0"/>
          <w:numId w:val="21"/>
        </w:numPr>
      </w:pPr>
      <w:r>
        <w:t>At any time during treatment, students reporting symptoms suggestive of liver disease should have m</w:t>
      </w:r>
      <w:r w:rsidR="000B0553" w:rsidRPr="001A4105">
        <w:t xml:space="preserve">onitoring </w:t>
      </w:r>
      <w:r>
        <w:t xml:space="preserve">of </w:t>
      </w:r>
      <w:r w:rsidR="000B0553" w:rsidRPr="001A4105">
        <w:t>liver function tests.</w:t>
      </w:r>
    </w:p>
    <w:p w14:paraId="4FBC07E5" w14:textId="77777777" w:rsidR="000B0553" w:rsidRPr="001A4105" w:rsidRDefault="000B0553" w:rsidP="000B0553"/>
    <w:p w14:paraId="7B87AE76" w14:textId="3BADA76F" w:rsidR="000B0553" w:rsidRPr="001A4105" w:rsidRDefault="000B0553" w:rsidP="00BB14F6">
      <w:pPr>
        <w:numPr>
          <w:ilvl w:val="0"/>
          <w:numId w:val="21"/>
        </w:numPr>
      </w:pPr>
      <w:r w:rsidRPr="001A4105">
        <w:t xml:space="preserve">If the original chest film was considered negative and the patient remains asymptomatic, no repeat </w:t>
      </w:r>
      <w:r w:rsidR="00FC3154">
        <w:t>x-ray</w:t>
      </w:r>
      <w:r w:rsidR="00FC3154" w:rsidRPr="001A4105">
        <w:t xml:space="preserve"> </w:t>
      </w:r>
      <w:r w:rsidRPr="001A4105">
        <w:t>is needed at the conclusion of therapy.</w:t>
      </w:r>
    </w:p>
    <w:p w14:paraId="1F3CCFA4" w14:textId="77777777" w:rsidR="000B0553" w:rsidRPr="001A4105" w:rsidRDefault="000B0553" w:rsidP="000B0553"/>
    <w:p w14:paraId="7AF69A45" w14:textId="77777777" w:rsidR="000B0553" w:rsidRPr="001A4105" w:rsidRDefault="000B0553" w:rsidP="00BB14F6">
      <w:pPr>
        <w:numPr>
          <w:ilvl w:val="0"/>
          <w:numId w:val="21"/>
        </w:numPr>
      </w:pPr>
      <w:r w:rsidRPr="001A4105">
        <w:t xml:space="preserve">Record completed </w:t>
      </w:r>
      <w:r w:rsidR="00BB14F6">
        <w:t xml:space="preserve">treatment regimen </w:t>
      </w:r>
      <w:r w:rsidRPr="001A4105">
        <w:t xml:space="preserve">in the </w:t>
      </w:r>
      <w:r w:rsidR="00A9290D" w:rsidRPr="00A6253C">
        <w:t xml:space="preserve">student </w:t>
      </w:r>
      <w:r w:rsidR="003B5831" w:rsidRPr="00A6253C">
        <w:t>health</w:t>
      </w:r>
      <w:r w:rsidRPr="00A6253C">
        <w:t xml:space="preserve"> record, and report same to the state or local Public Health Department so the patient will not have to undergo </w:t>
      </w:r>
      <w:r w:rsidR="00A9290D" w:rsidRPr="00A6253C">
        <w:t xml:space="preserve">tuberculin testing and </w:t>
      </w:r>
      <w:r w:rsidRPr="00A6253C">
        <w:t>LTBI therapy again</w:t>
      </w:r>
      <w:r w:rsidRPr="001A4105">
        <w:t>.</w:t>
      </w:r>
    </w:p>
    <w:p w14:paraId="61894525" w14:textId="77777777" w:rsidR="000B0553" w:rsidRPr="001A4105" w:rsidRDefault="000B0553" w:rsidP="000B0553"/>
    <w:p w14:paraId="6A2E94D9" w14:textId="7F0AB9F5" w:rsidR="000B0553" w:rsidRPr="001A4105" w:rsidRDefault="000B0553" w:rsidP="000B0553">
      <w:r w:rsidRPr="00FC48E5">
        <w:rPr>
          <w:b/>
        </w:rPr>
        <w:t xml:space="preserve">Note: </w:t>
      </w:r>
      <w:r w:rsidRPr="001A4105">
        <w:t xml:space="preserve"> Many local health departments provide evaluation and treatment services for reactive tuberculin skin tests, including chest x-rays and monthly medication at no cost to the center.</w:t>
      </w:r>
      <w:r w:rsidR="00C96FC7">
        <w:t xml:space="preserve">  Some health departments are beginning to utilize</w:t>
      </w:r>
      <w:r w:rsidR="00C96FC7" w:rsidRPr="00A6253C">
        <w:t xml:space="preserve"> </w:t>
      </w:r>
      <w:r w:rsidR="00A9290D" w:rsidRPr="00A6253C">
        <w:t>IGRA</w:t>
      </w:r>
      <w:r w:rsidR="00C96FC7" w:rsidRPr="00A6253C">
        <w:t xml:space="preserve"> </w:t>
      </w:r>
      <w:r w:rsidR="00BC5150">
        <w:t xml:space="preserve">blood tests </w:t>
      </w:r>
      <w:r w:rsidR="00C96FC7">
        <w:t>to guide decision making.  Please defer to recommendations from your local health department.</w:t>
      </w:r>
    </w:p>
    <w:p w14:paraId="18114511" w14:textId="77777777" w:rsidR="000B0553" w:rsidRPr="001A4105" w:rsidRDefault="000B0553" w:rsidP="000B0553">
      <w:pPr>
        <w:rPr>
          <w:b/>
          <w:bCs w:val="0"/>
        </w:rPr>
      </w:pPr>
    </w:p>
    <w:p w14:paraId="699356CB" w14:textId="77777777" w:rsidR="000B0553" w:rsidRPr="001A4105" w:rsidRDefault="000B0553" w:rsidP="000B0553">
      <w:pPr>
        <w:pStyle w:val="Heading3"/>
      </w:pPr>
      <w:r w:rsidRPr="001A4105">
        <w:t>WHEN TO REFER TO THE CENTER PHYSICIAN</w:t>
      </w:r>
    </w:p>
    <w:p w14:paraId="54759DBC" w14:textId="77777777" w:rsidR="000B0553" w:rsidRPr="001A4105" w:rsidRDefault="000B0553" w:rsidP="000B0553"/>
    <w:p w14:paraId="3F311608" w14:textId="77777777" w:rsidR="000B0553" w:rsidRPr="00A6253C" w:rsidRDefault="000B0553" w:rsidP="000B0553">
      <w:pPr>
        <w:numPr>
          <w:ilvl w:val="0"/>
          <w:numId w:val="19"/>
        </w:numPr>
      </w:pPr>
      <w:r w:rsidRPr="001A4105">
        <w:t xml:space="preserve">If measurements of skin test </w:t>
      </w:r>
      <w:r w:rsidR="00A9290D" w:rsidRPr="00A6253C">
        <w:t>induration</w:t>
      </w:r>
      <w:r w:rsidRPr="00A6253C">
        <w:t xml:space="preserve"> are uncertain</w:t>
      </w:r>
    </w:p>
    <w:p w14:paraId="5926F77D" w14:textId="4E4791D7" w:rsidR="000B0553" w:rsidRPr="00A6253C" w:rsidRDefault="000B0553" w:rsidP="000B0553">
      <w:pPr>
        <w:numPr>
          <w:ilvl w:val="0"/>
          <w:numId w:val="19"/>
        </w:numPr>
      </w:pPr>
      <w:r w:rsidRPr="00A6253C">
        <w:t xml:space="preserve">If </w:t>
      </w:r>
      <w:r w:rsidR="00BE34B6" w:rsidRPr="00A6253C">
        <w:t xml:space="preserve">the </w:t>
      </w:r>
      <w:r w:rsidRPr="00A6253C">
        <w:t>student has an abnormal chest x-ray</w:t>
      </w:r>
    </w:p>
    <w:p w14:paraId="46F1544C" w14:textId="1F8DBD6E" w:rsidR="000B0553" w:rsidRPr="001A4105" w:rsidRDefault="000B0553" w:rsidP="000B0553">
      <w:pPr>
        <w:numPr>
          <w:ilvl w:val="0"/>
          <w:numId w:val="19"/>
        </w:numPr>
      </w:pPr>
      <w:r w:rsidRPr="00A6253C">
        <w:t xml:space="preserve">If </w:t>
      </w:r>
      <w:r w:rsidR="00BE34B6" w:rsidRPr="00A6253C">
        <w:t xml:space="preserve">the </w:t>
      </w:r>
      <w:r w:rsidRPr="00A6253C">
        <w:t>student has a history of liver disease</w:t>
      </w:r>
      <w:r w:rsidR="00F86181" w:rsidRPr="00A6253C">
        <w:t>, pregnancy, HIV</w:t>
      </w:r>
      <w:r w:rsidR="00A9290D" w:rsidRPr="00A6253C">
        <w:t xml:space="preserve"> infection</w:t>
      </w:r>
      <w:r w:rsidR="00F86181">
        <w:t xml:space="preserve">, </w:t>
      </w:r>
      <w:r w:rsidR="00C54053">
        <w:t xml:space="preserve">or concern regarding potential exposure to </w:t>
      </w:r>
      <w:r w:rsidR="00EA07FE">
        <w:t xml:space="preserve">a </w:t>
      </w:r>
      <w:r w:rsidR="00C54053">
        <w:t>resistant tuberculosis strain</w:t>
      </w:r>
    </w:p>
    <w:p w14:paraId="333BB1F0" w14:textId="1BA8F9A2" w:rsidR="000B0553" w:rsidRDefault="000B0553" w:rsidP="000B0553">
      <w:pPr>
        <w:numPr>
          <w:ilvl w:val="0"/>
          <w:numId w:val="19"/>
        </w:numPr>
      </w:pPr>
      <w:r w:rsidRPr="001A4105">
        <w:t>If the student does not adhere to therapy</w:t>
      </w:r>
    </w:p>
    <w:p w14:paraId="3C7D7912" w14:textId="13230DD5" w:rsidR="00EA07FE" w:rsidRPr="001A4105" w:rsidRDefault="00EA07FE" w:rsidP="000B0553">
      <w:pPr>
        <w:numPr>
          <w:ilvl w:val="0"/>
          <w:numId w:val="19"/>
        </w:numPr>
      </w:pPr>
      <w:r>
        <w:t>If the student develops symptoms of cough, chest pain, fever, chills or night sweats</w:t>
      </w:r>
    </w:p>
    <w:p w14:paraId="14262539" w14:textId="77777777" w:rsidR="000E671D" w:rsidRPr="000B0553" w:rsidRDefault="000E671D" w:rsidP="000B0553"/>
    <w:sectPr w:rsidR="000E671D" w:rsidRPr="000B0553" w:rsidSect="00F36A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A83A" w14:textId="77777777" w:rsidR="00122155" w:rsidRDefault="00122155">
      <w:r>
        <w:separator/>
      </w:r>
    </w:p>
  </w:endnote>
  <w:endnote w:type="continuationSeparator" w:id="0">
    <w:p w14:paraId="14E2D6EE" w14:textId="77777777" w:rsidR="00122155" w:rsidRDefault="0012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EB0B" w14:textId="4CCA47A9" w:rsidR="000B0553" w:rsidRPr="001D60FB" w:rsidRDefault="00AA357B" w:rsidP="00341FB2">
    <w:pPr>
      <w:pStyle w:val="Footer"/>
      <w:pBdr>
        <w:top w:val="single" w:sz="4" w:space="1" w:color="auto"/>
      </w:pBdr>
      <w:tabs>
        <w:tab w:val="clear" w:pos="4320"/>
        <w:tab w:val="clear" w:pos="8640"/>
        <w:tab w:val="right" w:pos="9360"/>
      </w:tabs>
      <w:rPr>
        <w:sz w:val="20"/>
        <w:szCs w:val="20"/>
      </w:rPr>
    </w:pPr>
    <w:r>
      <w:rPr>
        <w:sz w:val="20"/>
        <w:szCs w:val="20"/>
      </w:rPr>
      <w:t>March 2020</w:t>
    </w:r>
    <w:r w:rsidR="00FC48E5" w:rsidRPr="001D60FB">
      <w:rPr>
        <w:sz w:val="20"/>
        <w:szCs w:val="20"/>
      </w:rPr>
      <w:tab/>
    </w:r>
    <w:r w:rsidR="001D60FB" w:rsidRPr="001D60FB">
      <w:rPr>
        <w:sz w:val="20"/>
        <w:szCs w:val="20"/>
      </w:rPr>
      <w:t xml:space="preserve">Page </w:t>
    </w:r>
    <w:r w:rsidR="001D60FB" w:rsidRPr="001D60FB">
      <w:rPr>
        <w:bCs w:val="0"/>
        <w:sz w:val="20"/>
        <w:szCs w:val="20"/>
      </w:rPr>
      <w:fldChar w:fldCharType="begin"/>
    </w:r>
    <w:r w:rsidR="001D60FB" w:rsidRPr="001D60FB">
      <w:rPr>
        <w:bCs w:val="0"/>
        <w:sz w:val="20"/>
        <w:szCs w:val="20"/>
      </w:rPr>
      <w:instrText xml:space="preserve"> PAGE  \* Arabic  \* MERGEFORMAT </w:instrText>
    </w:r>
    <w:r w:rsidR="001D60FB" w:rsidRPr="001D60FB">
      <w:rPr>
        <w:bCs w:val="0"/>
        <w:sz w:val="20"/>
        <w:szCs w:val="20"/>
      </w:rPr>
      <w:fldChar w:fldCharType="separate"/>
    </w:r>
    <w:r w:rsidR="001D60FB">
      <w:rPr>
        <w:bCs w:val="0"/>
        <w:noProof/>
        <w:sz w:val="20"/>
        <w:szCs w:val="20"/>
      </w:rPr>
      <w:t>3</w:t>
    </w:r>
    <w:r w:rsidR="001D60FB" w:rsidRPr="001D60FB">
      <w:rPr>
        <w:bCs w:val="0"/>
        <w:sz w:val="20"/>
        <w:szCs w:val="20"/>
      </w:rPr>
      <w:fldChar w:fldCharType="end"/>
    </w:r>
    <w:r w:rsidR="001D60FB" w:rsidRPr="001D60FB">
      <w:rPr>
        <w:sz w:val="20"/>
        <w:szCs w:val="20"/>
      </w:rPr>
      <w:t xml:space="preserve"> of </w:t>
    </w:r>
    <w:r w:rsidR="001D60FB" w:rsidRPr="001D60FB">
      <w:rPr>
        <w:bCs w:val="0"/>
        <w:sz w:val="20"/>
        <w:szCs w:val="20"/>
      </w:rPr>
      <w:fldChar w:fldCharType="begin"/>
    </w:r>
    <w:r w:rsidR="001D60FB" w:rsidRPr="001D60FB">
      <w:rPr>
        <w:bCs w:val="0"/>
        <w:sz w:val="20"/>
        <w:szCs w:val="20"/>
      </w:rPr>
      <w:instrText xml:space="preserve"> NUMPAGES  \* Arabic  \* MERGEFORMAT </w:instrText>
    </w:r>
    <w:r w:rsidR="001D60FB" w:rsidRPr="001D60FB">
      <w:rPr>
        <w:bCs w:val="0"/>
        <w:sz w:val="20"/>
        <w:szCs w:val="20"/>
      </w:rPr>
      <w:fldChar w:fldCharType="separate"/>
    </w:r>
    <w:r w:rsidR="001D60FB">
      <w:rPr>
        <w:bCs w:val="0"/>
        <w:noProof/>
        <w:sz w:val="20"/>
        <w:szCs w:val="20"/>
      </w:rPr>
      <w:t>3</w:t>
    </w:r>
    <w:r w:rsidR="001D60FB" w:rsidRPr="001D60FB">
      <w:rPr>
        <w:bCs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E11C" w14:textId="77777777" w:rsidR="00122155" w:rsidRDefault="00122155">
      <w:r>
        <w:separator/>
      </w:r>
    </w:p>
  </w:footnote>
  <w:footnote w:type="continuationSeparator" w:id="0">
    <w:p w14:paraId="24A34E17" w14:textId="77777777" w:rsidR="00122155" w:rsidRDefault="0012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3BA7" w14:textId="26BBFB8D" w:rsidR="00FC48E5" w:rsidRPr="00FC48E5" w:rsidRDefault="00FC48E5" w:rsidP="00FC48E5">
    <w:pPr>
      <w:pStyle w:val="Header"/>
      <w:pBdr>
        <w:bottom w:val="single" w:sz="4" w:space="1" w:color="auto"/>
      </w:pBdr>
      <w:rPr>
        <w:sz w:val="20"/>
        <w:szCs w:val="20"/>
      </w:rPr>
    </w:pPr>
    <w:r w:rsidRPr="00FC48E5">
      <w:rPr>
        <w:sz w:val="20"/>
        <w:szCs w:val="20"/>
      </w:rPr>
      <w:t>Treatment Guidelines for Health Staff: Tuberculin Skin Testing and Latent Tuberculosis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E97E64"/>
    <w:multiLevelType w:val="hybridMultilevel"/>
    <w:tmpl w:val="4546F0D6"/>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7C68"/>
    <w:multiLevelType w:val="hybridMultilevel"/>
    <w:tmpl w:val="CEB6D7E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555"/>
    <w:multiLevelType w:val="hybridMultilevel"/>
    <w:tmpl w:val="68E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76E83"/>
    <w:multiLevelType w:val="hybridMultilevel"/>
    <w:tmpl w:val="F2D227B0"/>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B72E4"/>
    <w:multiLevelType w:val="hybridMultilevel"/>
    <w:tmpl w:val="D4929A84"/>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833A02"/>
    <w:multiLevelType w:val="hybridMultilevel"/>
    <w:tmpl w:val="42C0524C"/>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37710"/>
    <w:multiLevelType w:val="hybridMultilevel"/>
    <w:tmpl w:val="B4F8319C"/>
    <w:lvl w:ilvl="0" w:tplc="00AE4EFA">
      <w:start w:val="1"/>
      <w:numFmt w:val="bullet"/>
      <w:lvlText w:val=""/>
      <w:lvlJc w:val="left"/>
      <w:pPr>
        <w:tabs>
          <w:tab w:val="num" w:pos="360"/>
        </w:tabs>
        <w:ind w:left="360" w:hanging="360"/>
      </w:pPr>
      <w:rPr>
        <w:rFonts w:ascii="Symbol" w:hAnsi="Symbol" w:hint="default"/>
        <w:b w:val="0"/>
        <w:i w:val="0"/>
        <w:sz w:val="16"/>
      </w:rPr>
    </w:lvl>
    <w:lvl w:ilvl="1" w:tplc="9F72598C">
      <w:numFmt w:val="bullet"/>
      <w:lvlText w:val=""/>
      <w:lvlJc w:val="left"/>
      <w:pPr>
        <w:tabs>
          <w:tab w:val="num" w:pos="1080"/>
        </w:tabs>
        <w:ind w:left="1080" w:hanging="360"/>
      </w:pPr>
      <w:rPr>
        <w:rFonts w:ascii="Wingdings" w:eastAsia="Times New Roman" w:hAnsi="Wingdings" w:cs="Arial" w:hint="default"/>
        <w:b/>
        <w:u w:val="singl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E01E5A"/>
    <w:multiLevelType w:val="hybridMultilevel"/>
    <w:tmpl w:val="2EA2765C"/>
    <w:lvl w:ilvl="0" w:tplc="F9A4C566">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0E351F"/>
    <w:multiLevelType w:val="hybridMultilevel"/>
    <w:tmpl w:val="69EC014E"/>
    <w:lvl w:ilvl="0" w:tplc="7240633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64970"/>
    <w:multiLevelType w:val="hybridMultilevel"/>
    <w:tmpl w:val="C504BB7E"/>
    <w:lvl w:ilvl="0" w:tplc="B2A287B6">
      <w:start w:val="1"/>
      <w:numFmt w:val="decimal"/>
      <w:lvlText w:val="%1."/>
      <w:lvlJc w:val="left"/>
      <w:pPr>
        <w:tabs>
          <w:tab w:val="num" w:pos="360"/>
        </w:tabs>
        <w:ind w:left="360" w:hanging="360"/>
      </w:pPr>
      <w:rPr>
        <w:rFonts w:ascii="Arial" w:hAnsi="Arial" w:hint="default"/>
        <w:b w:val="0"/>
        <w:i w:val="0"/>
        <w:sz w:val="24"/>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564234"/>
    <w:multiLevelType w:val="hybridMultilevel"/>
    <w:tmpl w:val="5EB6FF66"/>
    <w:lvl w:ilvl="0" w:tplc="B656845C">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37D72"/>
    <w:multiLevelType w:val="hybridMultilevel"/>
    <w:tmpl w:val="93A8F672"/>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D05E1"/>
    <w:multiLevelType w:val="hybridMultilevel"/>
    <w:tmpl w:val="C504BB7E"/>
    <w:lvl w:ilvl="0" w:tplc="798082B8">
      <w:start w:val="1"/>
      <w:numFmt w:val="bullet"/>
      <w:lvlText w:val=""/>
      <w:lvlJc w:val="left"/>
      <w:pPr>
        <w:tabs>
          <w:tab w:val="num" w:pos="360"/>
        </w:tabs>
        <w:ind w:left="360" w:hanging="360"/>
      </w:pPr>
      <w:rPr>
        <w:rFonts w:ascii="Symbol" w:hAnsi="Symbol" w:hint="default"/>
        <w:b w:val="0"/>
        <w:i w:val="0"/>
        <w:sz w:val="18"/>
      </w:rPr>
    </w:lvl>
    <w:lvl w:ilvl="1" w:tplc="798082B8">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DDD1063"/>
    <w:multiLevelType w:val="hybridMultilevel"/>
    <w:tmpl w:val="287A2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E114B"/>
    <w:multiLevelType w:val="hybridMultilevel"/>
    <w:tmpl w:val="0ECC0366"/>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D782F"/>
    <w:multiLevelType w:val="hybridMultilevel"/>
    <w:tmpl w:val="DD5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22"/>
  </w:num>
  <w:num w:numId="5">
    <w:abstractNumId w:val="12"/>
  </w:num>
  <w:num w:numId="6">
    <w:abstractNumId w:val="8"/>
  </w:num>
  <w:num w:numId="7">
    <w:abstractNumId w:val="17"/>
  </w:num>
  <w:num w:numId="8">
    <w:abstractNumId w:val="19"/>
  </w:num>
  <w:num w:numId="9">
    <w:abstractNumId w:val="9"/>
  </w:num>
  <w:num w:numId="10">
    <w:abstractNumId w:val="6"/>
  </w:num>
  <w:num w:numId="11">
    <w:abstractNumId w:val="13"/>
  </w:num>
  <w:num w:numId="12">
    <w:abstractNumId w:val="16"/>
  </w:num>
  <w:num w:numId="13">
    <w:abstractNumId w:val="5"/>
  </w:num>
  <w:num w:numId="14">
    <w:abstractNumId w:val="15"/>
  </w:num>
  <w:num w:numId="15">
    <w:abstractNumId w:val="4"/>
  </w:num>
  <w:num w:numId="16">
    <w:abstractNumId w:val="1"/>
  </w:num>
  <w:num w:numId="17">
    <w:abstractNumId w:val="10"/>
  </w:num>
  <w:num w:numId="18">
    <w:abstractNumId w:val="7"/>
  </w:num>
  <w:num w:numId="19">
    <w:abstractNumId w:val="2"/>
  </w:num>
  <w:num w:numId="20">
    <w:abstractNumId w:val="23"/>
  </w:num>
  <w:num w:numId="21">
    <w:abstractNumId w:val="18"/>
  </w:num>
  <w:num w:numId="22">
    <w:abstractNumId w:val="14"/>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04"/>
    <w:rsid w:val="000044CC"/>
    <w:rsid w:val="00050AD6"/>
    <w:rsid w:val="00066BB8"/>
    <w:rsid w:val="00095016"/>
    <w:rsid w:val="000B0553"/>
    <w:rsid w:val="000B3183"/>
    <w:rsid w:val="000B3650"/>
    <w:rsid w:val="000D57D7"/>
    <w:rsid w:val="000E671D"/>
    <w:rsid w:val="000F2665"/>
    <w:rsid w:val="001016AF"/>
    <w:rsid w:val="00113AE1"/>
    <w:rsid w:val="00116021"/>
    <w:rsid w:val="00122155"/>
    <w:rsid w:val="00135480"/>
    <w:rsid w:val="00142A85"/>
    <w:rsid w:val="001502F4"/>
    <w:rsid w:val="0017405C"/>
    <w:rsid w:val="0018255C"/>
    <w:rsid w:val="00187933"/>
    <w:rsid w:val="0019694D"/>
    <w:rsid w:val="001D60FB"/>
    <w:rsid w:val="001F07BC"/>
    <w:rsid w:val="002414A6"/>
    <w:rsid w:val="00251CC2"/>
    <w:rsid w:val="0026433B"/>
    <w:rsid w:val="00273BEC"/>
    <w:rsid w:val="00293C4E"/>
    <w:rsid w:val="002B7453"/>
    <w:rsid w:val="002C5195"/>
    <w:rsid w:val="002E2F90"/>
    <w:rsid w:val="002F53D8"/>
    <w:rsid w:val="00341FB2"/>
    <w:rsid w:val="003464BA"/>
    <w:rsid w:val="00353695"/>
    <w:rsid w:val="00353A26"/>
    <w:rsid w:val="0038395F"/>
    <w:rsid w:val="003A51FF"/>
    <w:rsid w:val="003B368D"/>
    <w:rsid w:val="003B5831"/>
    <w:rsid w:val="003D4EEE"/>
    <w:rsid w:val="003E76B8"/>
    <w:rsid w:val="003F760A"/>
    <w:rsid w:val="004027C7"/>
    <w:rsid w:val="00446DA2"/>
    <w:rsid w:val="004600B2"/>
    <w:rsid w:val="004677A8"/>
    <w:rsid w:val="00485A18"/>
    <w:rsid w:val="0048713B"/>
    <w:rsid w:val="00495ADE"/>
    <w:rsid w:val="004E6FDC"/>
    <w:rsid w:val="00506DFE"/>
    <w:rsid w:val="00515575"/>
    <w:rsid w:val="00524CA9"/>
    <w:rsid w:val="00555190"/>
    <w:rsid w:val="00561312"/>
    <w:rsid w:val="005B58D9"/>
    <w:rsid w:val="005E181F"/>
    <w:rsid w:val="005E635B"/>
    <w:rsid w:val="005F1FB0"/>
    <w:rsid w:val="00621A51"/>
    <w:rsid w:val="006438EF"/>
    <w:rsid w:val="00645ACE"/>
    <w:rsid w:val="006624A0"/>
    <w:rsid w:val="006652F7"/>
    <w:rsid w:val="006A33E5"/>
    <w:rsid w:val="006B5BF5"/>
    <w:rsid w:val="006C5907"/>
    <w:rsid w:val="006E6AB8"/>
    <w:rsid w:val="006E768F"/>
    <w:rsid w:val="00702D83"/>
    <w:rsid w:val="00725D9D"/>
    <w:rsid w:val="0076757C"/>
    <w:rsid w:val="00794B72"/>
    <w:rsid w:val="007F120E"/>
    <w:rsid w:val="00801CAE"/>
    <w:rsid w:val="008379DB"/>
    <w:rsid w:val="0084556F"/>
    <w:rsid w:val="00851A6F"/>
    <w:rsid w:val="00860550"/>
    <w:rsid w:val="008A0DDB"/>
    <w:rsid w:val="008B09BC"/>
    <w:rsid w:val="008B74C0"/>
    <w:rsid w:val="00944DA4"/>
    <w:rsid w:val="00972763"/>
    <w:rsid w:val="009B3B1E"/>
    <w:rsid w:val="00A245AA"/>
    <w:rsid w:val="00A6253C"/>
    <w:rsid w:val="00A776FB"/>
    <w:rsid w:val="00A9290D"/>
    <w:rsid w:val="00A95423"/>
    <w:rsid w:val="00A96841"/>
    <w:rsid w:val="00AA357B"/>
    <w:rsid w:val="00AF1CFF"/>
    <w:rsid w:val="00B42F3F"/>
    <w:rsid w:val="00B53E0F"/>
    <w:rsid w:val="00B75A95"/>
    <w:rsid w:val="00B85855"/>
    <w:rsid w:val="00B92A11"/>
    <w:rsid w:val="00BA3BB2"/>
    <w:rsid w:val="00BA6C55"/>
    <w:rsid w:val="00BB10BD"/>
    <w:rsid w:val="00BB14F6"/>
    <w:rsid w:val="00BC323C"/>
    <w:rsid w:val="00BC5150"/>
    <w:rsid w:val="00BE34B6"/>
    <w:rsid w:val="00BE7A58"/>
    <w:rsid w:val="00BF0841"/>
    <w:rsid w:val="00BF49E6"/>
    <w:rsid w:val="00C03056"/>
    <w:rsid w:val="00C143B9"/>
    <w:rsid w:val="00C40686"/>
    <w:rsid w:val="00C42687"/>
    <w:rsid w:val="00C54053"/>
    <w:rsid w:val="00C57726"/>
    <w:rsid w:val="00C87EBA"/>
    <w:rsid w:val="00C90D49"/>
    <w:rsid w:val="00C96FC7"/>
    <w:rsid w:val="00CC391A"/>
    <w:rsid w:val="00D075CA"/>
    <w:rsid w:val="00D160AC"/>
    <w:rsid w:val="00D83B91"/>
    <w:rsid w:val="00DA4128"/>
    <w:rsid w:val="00DB2CF6"/>
    <w:rsid w:val="00DB51C0"/>
    <w:rsid w:val="00DD0CA8"/>
    <w:rsid w:val="00DF2078"/>
    <w:rsid w:val="00E44082"/>
    <w:rsid w:val="00E46084"/>
    <w:rsid w:val="00E718FB"/>
    <w:rsid w:val="00E90E3F"/>
    <w:rsid w:val="00EA07FE"/>
    <w:rsid w:val="00EB4D0C"/>
    <w:rsid w:val="00EB4D64"/>
    <w:rsid w:val="00F04186"/>
    <w:rsid w:val="00F10334"/>
    <w:rsid w:val="00F36A04"/>
    <w:rsid w:val="00F42FBF"/>
    <w:rsid w:val="00F86181"/>
    <w:rsid w:val="00FC3154"/>
    <w:rsid w:val="00FC48E5"/>
    <w:rsid w:val="00FC5B74"/>
    <w:rsid w:val="00FD238D"/>
    <w:rsid w:val="00FD750F"/>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8F26E"/>
  <w15:chartTrackingRefBased/>
  <w15:docId w15:val="{A1C6A403-1F65-466E-9C75-069271F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rsid w:val="00251CC2"/>
    <w:rPr>
      <w:color w:val="0000FF"/>
      <w:u w:val="single"/>
    </w:rPr>
  </w:style>
  <w:style w:type="table" w:styleId="TableGrid">
    <w:name w:val="Table Grid"/>
    <w:basedOn w:val="TableNormal"/>
    <w:rsid w:val="00F4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4F6"/>
    <w:pPr>
      <w:ind w:left="720"/>
      <w:contextualSpacing/>
    </w:pPr>
  </w:style>
  <w:style w:type="character" w:styleId="CommentReference">
    <w:name w:val="annotation reference"/>
    <w:basedOn w:val="DefaultParagraphFont"/>
    <w:rsid w:val="00801CAE"/>
    <w:rPr>
      <w:sz w:val="16"/>
      <w:szCs w:val="16"/>
    </w:rPr>
  </w:style>
  <w:style w:type="paragraph" w:styleId="CommentText">
    <w:name w:val="annotation text"/>
    <w:basedOn w:val="Normal"/>
    <w:link w:val="CommentTextChar"/>
    <w:rsid w:val="00801CAE"/>
    <w:rPr>
      <w:sz w:val="20"/>
      <w:szCs w:val="20"/>
    </w:rPr>
  </w:style>
  <w:style w:type="character" w:customStyle="1" w:styleId="CommentTextChar">
    <w:name w:val="Comment Text Char"/>
    <w:basedOn w:val="DefaultParagraphFont"/>
    <w:link w:val="CommentText"/>
    <w:rsid w:val="00801CAE"/>
    <w:rPr>
      <w:rFonts w:ascii="Arial" w:hAnsi="Arial" w:cs="Arial"/>
      <w:bCs/>
    </w:rPr>
  </w:style>
  <w:style w:type="paragraph" w:styleId="CommentSubject">
    <w:name w:val="annotation subject"/>
    <w:basedOn w:val="CommentText"/>
    <w:next w:val="CommentText"/>
    <w:link w:val="CommentSubjectChar"/>
    <w:rsid w:val="00801CAE"/>
    <w:rPr>
      <w:b/>
    </w:rPr>
  </w:style>
  <w:style w:type="character" w:customStyle="1" w:styleId="CommentSubjectChar">
    <w:name w:val="Comment Subject Char"/>
    <w:basedOn w:val="CommentTextChar"/>
    <w:link w:val="CommentSubject"/>
    <w:rsid w:val="00801CAE"/>
    <w:rPr>
      <w:rFonts w:ascii="Arial" w:hAnsi="Arial" w:cs="Arial"/>
      <w:b/>
      <w:bCs/>
    </w:rPr>
  </w:style>
  <w:style w:type="paragraph" w:styleId="Revision">
    <w:name w:val="Revision"/>
    <w:hidden/>
    <w:uiPriority w:val="99"/>
    <w:semiHidden/>
    <w:rsid w:val="00801CAE"/>
    <w:rPr>
      <w:rFonts w:ascii="Arial" w:hAnsi="Arial" w:cs="Arial"/>
      <w:bCs/>
      <w:sz w:val="24"/>
      <w:szCs w:val="24"/>
    </w:rPr>
  </w:style>
  <w:style w:type="paragraph" w:styleId="BalloonText">
    <w:name w:val="Balloon Text"/>
    <w:basedOn w:val="Normal"/>
    <w:link w:val="BalloonTextChar"/>
    <w:semiHidden/>
    <w:unhideWhenUsed/>
    <w:rsid w:val="00801CAE"/>
    <w:rPr>
      <w:rFonts w:ascii="Segoe UI" w:hAnsi="Segoe UI" w:cs="Segoe UI"/>
      <w:sz w:val="18"/>
      <w:szCs w:val="18"/>
    </w:rPr>
  </w:style>
  <w:style w:type="character" w:customStyle="1" w:styleId="BalloonTextChar">
    <w:name w:val="Balloon Text Char"/>
    <w:basedOn w:val="DefaultParagraphFont"/>
    <w:link w:val="BalloonText"/>
    <w:semiHidden/>
    <w:rsid w:val="00801CAE"/>
    <w:rPr>
      <w:rFonts w:ascii="Segoe UI" w:hAnsi="Segoe UI" w:cs="Segoe UI"/>
      <w:bCs/>
      <w:sz w:val="18"/>
      <w:szCs w:val="18"/>
    </w:rPr>
  </w:style>
  <w:style w:type="character" w:customStyle="1" w:styleId="tgc">
    <w:name w:val="_tgc"/>
    <w:basedOn w:val="DefaultParagraphFont"/>
    <w:rsid w:val="00801CAE"/>
  </w:style>
  <w:style w:type="character" w:styleId="FollowedHyperlink">
    <w:name w:val="FollowedHyperlink"/>
    <w:basedOn w:val="DefaultParagraphFont"/>
    <w:rsid w:val="00BE7A58"/>
    <w:rPr>
      <w:color w:val="954F72" w:themeColor="followedHyperlink"/>
      <w:u w:val="single"/>
    </w:rPr>
  </w:style>
  <w:style w:type="character" w:styleId="UnresolvedMention">
    <w:name w:val="Unresolved Mention"/>
    <w:basedOn w:val="DefaultParagraphFont"/>
    <w:uiPriority w:val="99"/>
    <w:semiHidden/>
    <w:unhideWhenUsed/>
    <w:rsid w:val="00F0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mmwr/volumes/69/rr/rr6901"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XRUYQT3274NZ-681238054-1503</_dlc_DocId>
    <_dlc_DocIdUrl xmlns="b22f8f74-215c-4154-9939-bd29e4e8980e">
      <Url>https://supportservices.jobcorps.gov/health/_layouts/15/DocIdRedir.aspx?ID=XRUYQT3274NZ-681238054-1503</Url>
      <Description>XRUYQT3274NZ-681238054-1503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68B0CE-5B3D-4683-84EE-453659670A9C}"/>
</file>

<file path=customXml/itemProps2.xml><?xml version="1.0" encoding="utf-8"?>
<ds:datastoreItem xmlns:ds="http://schemas.openxmlformats.org/officeDocument/2006/customXml" ds:itemID="{77ED3F4F-6211-4359-BFCD-ED95CA721218}"/>
</file>

<file path=customXml/itemProps3.xml><?xml version="1.0" encoding="utf-8"?>
<ds:datastoreItem xmlns:ds="http://schemas.openxmlformats.org/officeDocument/2006/customXml" ds:itemID="{7F6BD9D3-01A6-4742-BBDA-4B18C017CD83}"/>
</file>

<file path=customXml/itemProps4.xml><?xml version="1.0" encoding="utf-8"?>
<ds:datastoreItem xmlns:ds="http://schemas.openxmlformats.org/officeDocument/2006/customXml" ds:itemID="{79810DB0-D091-4446-9B90-1C807A8637BD}"/>
</file>

<file path=customXml/itemProps5.xml><?xml version="1.0" encoding="utf-8"?>
<ds:datastoreItem xmlns:ds="http://schemas.openxmlformats.org/officeDocument/2006/customXml" ds:itemID="{6BC50C89-4E22-4324-81ED-A186AEEE5E3F}"/>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Treatment Guidelines for Tuberculuin Skin Testing and Latent Tuberculosis</vt:lpstr>
      <vt:lpstr>        WHEN TO REFER TO THE CENTER PHYSICIAN</vt:lpstr>
    </vt:vector>
  </TitlesOfParts>
  <Company>Humanitas, Inc.</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Tuberculuin Skin Testing and Latent Tuberculosis</dc:title>
  <dc:subject/>
  <dc:creator>jdavis</dc:creator>
  <cp:keywords/>
  <cp:lastModifiedBy>Carolina Valdenegro</cp:lastModifiedBy>
  <cp:revision>2</cp:revision>
  <dcterms:created xsi:type="dcterms:W3CDTF">2020-03-03T20:02:00Z</dcterms:created>
  <dcterms:modified xsi:type="dcterms:W3CDTF">2020-03-03T20:02:00Z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eec1be1c-b607-4056-b6f4-af703e8a23c8</vt:lpwstr>
  </property>
</Properties>
</file>