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2F" w:rsidRPr="00935E2F" w:rsidRDefault="00EB025E" w:rsidP="00026D72">
      <w:pPr>
        <w:pStyle w:val="Title"/>
        <w:shd w:val="clear" w:color="auto" w:fill="D9D9D9" w:themeFill="background1" w:themeFillShade="D9"/>
        <w:spacing w:before="100" w:beforeAutospacing="1" w:after="100" w:afterAutospacing="1"/>
      </w:pPr>
      <w:r>
        <w:t>TREATMENT GUIDELINES FOR HEALTH STAFF</w:t>
      </w:r>
    </w:p>
    <w:p w:rsidR="00EB025E" w:rsidRPr="00935E2F" w:rsidRDefault="00EB025E" w:rsidP="00026D72">
      <w:pPr>
        <w:pStyle w:val="Title"/>
        <w:shd w:val="clear" w:color="auto" w:fill="D9D9D9" w:themeFill="background1" w:themeFillShade="D9"/>
        <w:spacing w:before="100" w:beforeAutospacing="1" w:after="100" w:afterAutospacing="1"/>
      </w:pPr>
      <w:r>
        <w:t>URINARY TRACT INFECTION (UTI)</w:t>
      </w:r>
    </w:p>
    <w:p w:rsidR="00EB025E" w:rsidRDefault="00EB025E" w:rsidP="00EB025E">
      <w:pPr>
        <w:pStyle w:val="BodyText"/>
        <w:rPr>
          <w:sz w:val="24"/>
        </w:rPr>
      </w:pPr>
    </w:p>
    <w:p w:rsidR="00EB025E" w:rsidRDefault="00EB025E" w:rsidP="00EB025E">
      <w:r>
        <w:t xml:space="preserve">Authorized health and wellness staff may treat </w:t>
      </w:r>
      <w:r w:rsidRPr="00F928C7">
        <w:rPr>
          <w:b/>
        </w:rPr>
        <w:t>lower urinary tract infection (cystitis)</w:t>
      </w:r>
      <w:r>
        <w:t xml:space="preserve"> as follows:</w:t>
      </w:r>
    </w:p>
    <w:p w:rsidR="00EB025E" w:rsidRDefault="00EB025E" w:rsidP="00EB025E"/>
    <w:p w:rsidR="00EB025E" w:rsidRDefault="00EB025E" w:rsidP="00EB025E">
      <w:pPr>
        <w:pStyle w:val="BodyText2"/>
        <w:numPr>
          <w:ilvl w:val="0"/>
          <w:numId w:val="22"/>
        </w:numPr>
        <w:spacing w:after="0" w:line="240" w:lineRule="auto"/>
        <w:ind w:left="360"/>
      </w:pPr>
      <w:r>
        <w:t>Base treatment on history of dysuria, frequency</w:t>
      </w:r>
      <w:r w:rsidR="0036356D">
        <w:t>, voiding small volumes,</w:t>
      </w:r>
      <w:r>
        <w:t xml:space="preserve"> and urgency </w:t>
      </w:r>
      <w:r w:rsidR="00DE6929">
        <w:t xml:space="preserve">in </w:t>
      </w:r>
      <w:r w:rsidR="00214F4A">
        <w:t xml:space="preserve">the </w:t>
      </w:r>
      <w:r w:rsidR="00214F4A" w:rsidRPr="00214F4A">
        <w:rPr>
          <w:u w:val="single"/>
        </w:rPr>
        <w:t>absence</w:t>
      </w:r>
      <w:r>
        <w:t xml:space="preserve"> of flank pain, fever, or vaginitis.</w:t>
      </w:r>
      <w:r w:rsidR="009D29D5">
        <w:t xml:space="preserve"> Urinalysis</w:t>
      </w:r>
      <w:r w:rsidR="00672185">
        <w:t xml:space="preserve"> or dipstick</w:t>
      </w:r>
      <w:r w:rsidR="009D29D5">
        <w:t xml:space="preserve"> with p</w:t>
      </w:r>
      <w:r w:rsidR="0036356D">
        <w:t>ositive nitrites and leukocyte est</w:t>
      </w:r>
      <w:r w:rsidR="009D29D5">
        <w:t>erase</w:t>
      </w:r>
      <w:r w:rsidR="00672185">
        <w:t xml:space="preserve"> supports the diagnosis of UTI</w:t>
      </w:r>
      <w:r w:rsidR="0036356D">
        <w:t>.</w:t>
      </w:r>
    </w:p>
    <w:p w:rsidR="00EB025E" w:rsidRDefault="00EB025E" w:rsidP="00EB025E">
      <w:pPr>
        <w:pStyle w:val="BodyText2"/>
        <w:spacing w:after="0" w:line="240" w:lineRule="auto"/>
        <w:rPr>
          <w:bCs w:val="0"/>
        </w:rPr>
      </w:pPr>
    </w:p>
    <w:p w:rsidR="0070605E" w:rsidRDefault="00EB025E" w:rsidP="00F928C7">
      <w:pPr>
        <w:pStyle w:val="BodyText2"/>
        <w:numPr>
          <w:ilvl w:val="0"/>
          <w:numId w:val="22"/>
        </w:numPr>
        <w:spacing w:after="0" w:line="240" w:lineRule="auto"/>
        <w:ind w:left="360"/>
      </w:pPr>
      <w:r>
        <w:t>Administer nitrofurantoin (</w:t>
      </w:r>
      <w:proofErr w:type="spellStart"/>
      <w:r>
        <w:t>Macrobid</w:t>
      </w:r>
      <w:proofErr w:type="spellEnd"/>
      <w:r>
        <w:t xml:space="preserve">) 100 mg </w:t>
      </w:r>
      <w:proofErr w:type="spellStart"/>
      <w:r>
        <w:t>po</w:t>
      </w:r>
      <w:proofErr w:type="spellEnd"/>
      <w:r>
        <w:t xml:space="preserve"> twice daily for </w:t>
      </w:r>
      <w:r w:rsidR="000D4778">
        <w:t>5</w:t>
      </w:r>
      <w:r>
        <w:t xml:space="preserve"> days OR </w:t>
      </w:r>
      <w:r w:rsidR="00DB6310">
        <w:t xml:space="preserve">one </w:t>
      </w:r>
      <w:r>
        <w:t xml:space="preserve">trimethoprim 160 mg/sulfamethoxazole 800 mg double strength tablet (Bactrim DS) </w:t>
      </w:r>
      <w:proofErr w:type="spellStart"/>
      <w:r>
        <w:t>po</w:t>
      </w:r>
      <w:proofErr w:type="spellEnd"/>
      <w:r>
        <w:t xml:space="preserve"> twice daily for 3 days</w:t>
      </w:r>
      <w:r w:rsidR="00F86DF6">
        <w:t>*</w:t>
      </w:r>
      <w:r>
        <w:t>.</w:t>
      </w:r>
      <w:r w:rsidR="0070605E" w:rsidRPr="0070605E">
        <w:t xml:space="preserve"> </w:t>
      </w:r>
    </w:p>
    <w:p w:rsidR="0070605E" w:rsidRDefault="0070605E" w:rsidP="00F928C7">
      <w:pPr>
        <w:pStyle w:val="ListParagraph"/>
        <w:ind w:left="360"/>
      </w:pPr>
    </w:p>
    <w:p w:rsidR="0070605E" w:rsidRDefault="0070605E">
      <w:pPr>
        <w:pStyle w:val="BodyText2"/>
        <w:numPr>
          <w:ilvl w:val="0"/>
          <w:numId w:val="22"/>
        </w:numPr>
        <w:spacing w:after="0" w:line="240" w:lineRule="auto"/>
        <w:ind w:left="360"/>
      </w:pPr>
      <w:r>
        <w:t>Fluoroquinolones (i.e. ciprofloxacin) should not be used as first line agents for cystitis. Reserve for suspected bacterial resistance or upper urinary tract infection.</w:t>
      </w:r>
    </w:p>
    <w:p w:rsidR="00EB025E" w:rsidRDefault="00EB025E">
      <w:pPr>
        <w:pStyle w:val="BodyText2"/>
        <w:spacing w:after="0" w:line="240" w:lineRule="auto"/>
      </w:pPr>
    </w:p>
    <w:p w:rsidR="00EB025E" w:rsidRDefault="00EB025E" w:rsidP="00F928C7">
      <w:pPr>
        <w:pStyle w:val="BodyText2"/>
        <w:numPr>
          <w:ilvl w:val="0"/>
          <w:numId w:val="22"/>
        </w:numPr>
        <w:spacing w:after="0" w:line="240" w:lineRule="auto"/>
        <w:ind w:left="360"/>
      </w:pPr>
      <w:r>
        <w:t>Obtain urine culture if student has recurrent urinary tract infections or antibiotic use within past 3 months.</w:t>
      </w:r>
    </w:p>
    <w:p w:rsidR="00EB025E" w:rsidRDefault="00EB025E">
      <w:pPr>
        <w:pStyle w:val="BodyText2"/>
        <w:spacing w:after="0" w:line="240" w:lineRule="auto"/>
      </w:pPr>
    </w:p>
    <w:p w:rsidR="00EB025E" w:rsidRDefault="00EB025E" w:rsidP="00F928C7">
      <w:pPr>
        <w:pStyle w:val="BodyText2"/>
        <w:numPr>
          <w:ilvl w:val="0"/>
          <w:numId w:val="22"/>
        </w:numPr>
        <w:spacing w:after="0" w:line="240" w:lineRule="auto"/>
        <w:ind w:left="360"/>
      </w:pPr>
      <w:r>
        <w:t>Encourage hydration with copious fluids.  Instruct student to return for re-treatment if vomiting occurs within 4 hours of any oral medication dose.</w:t>
      </w:r>
    </w:p>
    <w:p w:rsidR="00EB025E" w:rsidRDefault="00EB025E" w:rsidP="00F928C7">
      <w:pPr>
        <w:pStyle w:val="ListParagraph"/>
        <w:ind w:left="0"/>
      </w:pPr>
    </w:p>
    <w:p w:rsidR="00EB025E" w:rsidRDefault="00EB025E" w:rsidP="00F928C7">
      <w:pPr>
        <w:pStyle w:val="BodyText2"/>
        <w:numPr>
          <w:ilvl w:val="0"/>
          <w:numId w:val="22"/>
        </w:numPr>
        <w:spacing w:after="0" w:line="240" w:lineRule="auto"/>
        <w:ind w:left="360"/>
      </w:pPr>
      <w:r>
        <w:t xml:space="preserve">If new sexual partners, screen for </w:t>
      </w:r>
      <w:r w:rsidR="003A3429">
        <w:t xml:space="preserve">CT </w:t>
      </w:r>
      <w:r>
        <w:t xml:space="preserve">and </w:t>
      </w:r>
      <w:r w:rsidR="003A3429">
        <w:t xml:space="preserve">GC </w:t>
      </w:r>
      <w:r>
        <w:t xml:space="preserve">infection. </w:t>
      </w:r>
    </w:p>
    <w:p w:rsidR="00F86DF6" w:rsidRDefault="00F86DF6" w:rsidP="00721F45">
      <w:pPr>
        <w:pStyle w:val="ListParagraph"/>
      </w:pPr>
    </w:p>
    <w:p w:rsidR="00F86DF6" w:rsidRDefault="00F86DF6" w:rsidP="00721F45">
      <w:pPr>
        <w:pStyle w:val="BodyText2"/>
        <w:spacing w:after="0" w:line="240" w:lineRule="auto"/>
      </w:pPr>
      <w:r>
        <w:t xml:space="preserve">* Use of trimethoprim/sulfa use should be based on local patterns of </w:t>
      </w:r>
      <w:r w:rsidR="00721F45">
        <w:t>E</w:t>
      </w:r>
      <w:r>
        <w:t xml:space="preserve"> coli resistance; use only if local resistance is &lt;20%.</w:t>
      </w:r>
    </w:p>
    <w:p w:rsidR="00EB025E" w:rsidRDefault="00EB025E">
      <w:pPr>
        <w:pStyle w:val="BodyText2"/>
        <w:spacing w:after="0" w:line="240" w:lineRule="auto"/>
        <w:rPr>
          <w:bCs w:val="0"/>
        </w:rPr>
      </w:pPr>
    </w:p>
    <w:p w:rsidR="00EB025E" w:rsidRDefault="00EB025E" w:rsidP="00EB025E">
      <w:pPr>
        <w:pStyle w:val="BodyText2"/>
        <w:spacing w:after="0" w:line="240" w:lineRule="auto"/>
      </w:pPr>
    </w:p>
    <w:p w:rsidR="00EB025E" w:rsidRDefault="00EB025E" w:rsidP="00EB025E">
      <w:pPr>
        <w:pStyle w:val="BodyText2"/>
        <w:spacing w:after="0" w:line="240" w:lineRule="auto"/>
        <w:rPr>
          <w:b/>
        </w:rPr>
      </w:pPr>
      <w:r>
        <w:rPr>
          <w:b/>
        </w:rPr>
        <w:t>WHEN TO REFER TO THE CENTER PHYSICIAN</w:t>
      </w:r>
    </w:p>
    <w:p w:rsidR="00EB025E" w:rsidRDefault="00EB025E" w:rsidP="00EB025E">
      <w:pPr>
        <w:pStyle w:val="BodyText2"/>
        <w:spacing w:after="0" w:line="240" w:lineRule="auto"/>
        <w:rPr>
          <w:bCs w:val="0"/>
        </w:rPr>
      </w:pPr>
    </w:p>
    <w:p w:rsidR="00EB025E" w:rsidRDefault="00EB025E" w:rsidP="00EB025E">
      <w:pPr>
        <w:pStyle w:val="BodyText2"/>
        <w:numPr>
          <w:ilvl w:val="0"/>
          <w:numId w:val="23"/>
        </w:numPr>
        <w:spacing w:after="0" w:line="240" w:lineRule="auto"/>
        <w:rPr>
          <w:bCs w:val="0"/>
          <w:szCs w:val="28"/>
        </w:rPr>
      </w:pPr>
      <w:r>
        <w:rPr>
          <w:bCs w:val="0"/>
          <w:szCs w:val="28"/>
        </w:rPr>
        <w:t>If the student has a history of recurrent UTI</w:t>
      </w:r>
    </w:p>
    <w:p w:rsidR="00EB025E" w:rsidRDefault="00EB025E" w:rsidP="00EB025E">
      <w:pPr>
        <w:pStyle w:val="BodyText2"/>
        <w:numPr>
          <w:ilvl w:val="0"/>
          <w:numId w:val="23"/>
        </w:numPr>
        <w:spacing w:after="0" w:line="240" w:lineRule="auto"/>
        <w:rPr>
          <w:bCs w:val="0"/>
          <w:szCs w:val="28"/>
        </w:rPr>
      </w:pPr>
      <w:r>
        <w:rPr>
          <w:bCs w:val="0"/>
          <w:szCs w:val="28"/>
        </w:rPr>
        <w:t xml:space="preserve">If the student has fever </w:t>
      </w:r>
      <w:r>
        <w:rPr>
          <w:bCs w:val="0"/>
          <w:szCs w:val="28"/>
          <w:u w:val="single"/>
        </w:rPr>
        <w:t>&gt;</w:t>
      </w:r>
      <w:r>
        <w:rPr>
          <w:bCs w:val="0"/>
          <w:szCs w:val="28"/>
        </w:rPr>
        <w:t xml:space="preserve"> 101</w:t>
      </w:r>
      <w:r>
        <w:rPr>
          <w:bCs w:val="0"/>
          <w:szCs w:val="28"/>
          <w:vertAlign w:val="superscript"/>
        </w:rPr>
        <w:t>o</w:t>
      </w:r>
      <w:r>
        <w:rPr>
          <w:bCs w:val="0"/>
          <w:szCs w:val="28"/>
        </w:rPr>
        <w:t>F or fever with chills</w:t>
      </w:r>
    </w:p>
    <w:p w:rsidR="00EB025E" w:rsidRDefault="00EB025E" w:rsidP="00EB025E">
      <w:pPr>
        <w:pStyle w:val="BodyText2"/>
        <w:numPr>
          <w:ilvl w:val="0"/>
          <w:numId w:val="23"/>
        </w:numPr>
        <w:spacing w:after="0" w:line="240" w:lineRule="auto"/>
        <w:rPr>
          <w:bCs w:val="0"/>
          <w:szCs w:val="28"/>
        </w:rPr>
      </w:pPr>
      <w:r>
        <w:rPr>
          <w:bCs w:val="0"/>
          <w:szCs w:val="28"/>
        </w:rPr>
        <w:t>If the student has flank pain</w:t>
      </w:r>
    </w:p>
    <w:p w:rsidR="00F86DF6" w:rsidRDefault="00F86DF6" w:rsidP="00EB025E">
      <w:pPr>
        <w:pStyle w:val="BodyText2"/>
        <w:numPr>
          <w:ilvl w:val="0"/>
          <w:numId w:val="23"/>
        </w:numPr>
        <w:spacing w:after="0" w:line="240" w:lineRule="auto"/>
        <w:rPr>
          <w:bCs w:val="0"/>
          <w:szCs w:val="28"/>
        </w:rPr>
      </w:pPr>
      <w:r>
        <w:rPr>
          <w:bCs w:val="0"/>
          <w:szCs w:val="28"/>
        </w:rPr>
        <w:t>If the student is pregnant</w:t>
      </w:r>
      <w:bookmarkStart w:id="0" w:name="_GoBack"/>
      <w:bookmarkEnd w:id="0"/>
    </w:p>
    <w:p w:rsidR="00EB025E" w:rsidRDefault="00EB025E" w:rsidP="00EB025E">
      <w:pPr>
        <w:pStyle w:val="BodyText2"/>
        <w:numPr>
          <w:ilvl w:val="0"/>
          <w:numId w:val="23"/>
        </w:numPr>
        <w:spacing w:after="0" w:line="240" w:lineRule="auto"/>
        <w:rPr>
          <w:bCs w:val="0"/>
          <w:szCs w:val="28"/>
        </w:rPr>
      </w:pPr>
      <w:r>
        <w:rPr>
          <w:bCs w:val="0"/>
          <w:szCs w:val="28"/>
        </w:rPr>
        <w:t>If the student has symptoms suggestive of a sexually transmitted infection</w:t>
      </w:r>
    </w:p>
    <w:p w:rsidR="00EB025E" w:rsidRDefault="00EB025E" w:rsidP="00EB025E">
      <w:pPr>
        <w:pStyle w:val="BodyText2"/>
        <w:numPr>
          <w:ilvl w:val="0"/>
          <w:numId w:val="23"/>
        </w:numPr>
        <w:spacing w:after="0" w:line="240" w:lineRule="auto"/>
        <w:rPr>
          <w:bCs w:val="0"/>
          <w:szCs w:val="28"/>
        </w:rPr>
      </w:pPr>
      <w:r>
        <w:rPr>
          <w:bCs w:val="0"/>
          <w:szCs w:val="28"/>
        </w:rPr>
        <w:t>If the female student has pelvic pain suggestive of PID</w:t>
      </w:r>
    </w:p>
    <w:p w:rsidR="00EB025E" w:rsidRDefault="00EB025E" w:rsidP="00EB025E">
      <w:pPr>
        <w:pStyle w:val="BodyText2"/>
        <w:numPr>
          <w:ilvl w:val="0"/>
          <w:numId w:val="23"/>
        </w:numPr>
        <w:spacing w:after="0" w:line="240" w:lineRule="auto"/>
        <w:rPr>
          <w:bCs w:val="0"/>
          <w:szCs w:val="28"/>
        </w:rPr>
      </w:pPr>
      <w:r>
        <w:rPr>
          <w:bCs w:val="0"/>
          <w:szCs w:val="28"/>
        </w:rPr>
        <w:t>If the student’s symptoms have not resolved within 48 hours of initiating treatment</w:t>
      </w:r>
    </w:p>
    <w:p w:rsidR="003A3429" w:rsidRPr="00DB6310" w:rsidRDefault="00EB025E" w:rsidP="00DB6310">
      <w:pPr>
        <w:pStyle w:val="BodyText2"/>
        <w:numPr>
          <w:ilvl w:val="0"/>
          <w:numId w:val="23"/>
        </w:numPr>
        <w:spacing w:after="0" w:line="240" w:lineRule="auto"/>
        <w:rPr>
          <w:bCs w:val="0"/>
          <w:szCs w:val="28"/>
        </w:rPr>
      </w:pPr>
      <w:r>
        <w:rPr>
          <w:bCs w:val="0"/>
          <w:szCs w:val="28"/>
        </w:rPr>
        <w:t>If a male student has documented UTI (not urethritis)</w:t>
      </w:r>
    </w:p>
    <w:p w:rsidR="003A3429" w:rsidRDefault="003A3429" w:rsidP="003A3429">
      <w:pPr>
        <w:pStyle w:val="ListParagraph"/>
        <w:numPr>
          <w:ilvl w:val="0"/>
          <w:numId w:val="23"/>
        </w:numPr>
      </w:pPr>
      <w:r w:rsidRPr="002C4353">
        <w:t xml:space="preserve">If </w:t>
      </w:r>
      <w:r>
        <w:t xml:space="preserve">the </w:t>
      </w:r>
      <w:r w:rsidRPr="002C4353">
        <w:t xml:space="preserve">student has an allergy or other contraindication to listed medications and the use of a fluoroquinolone </w:t>
      </w:r>
      <w:r>
        <w:t xml:space="preserve">antibiotic </w:t>
      </w:r>
      <w:r w:rsidRPr="002C4353">
        <w:t xml:space="preserve">needs to be </w:t>
      </w:r>
      <w:r>
        <w:t>considered</w:t>
      </w:r>
    </w:p>
    <w:p w:rsidR="002D59AF" w:rsidRDefault="002D59AF" w:rsidP="000F1691"/>
    <w:p w:rsidR="002D59AF" w:rsidRDefault="002D59AF" w:rsidP="000F1691"/>
    <w:p w:rsidR="000D4778" w:rsidRDefault="00721F45" w:rsidP="000F1691">
      <w:r w:rsidRPr="006F7EE7">
        <w:rPr>
          <w:b/>
        </w:rPr>
        <w:t>Reference:</w:t>
      </w:r>
      <w:r>
        <w:t xml:space="preserve"> </w:t>
      </w:r>
      <w:hyperlink r:id="rId10" w:history="1">
        <w:r w:rsidR="000B5BD9" w:rsidRPr="00B853D4">
          <w:rPr>
            <w:rStyle w:val="Hyperlink"/>
          </w:rPr>
          <w:t>https://www.accp.com/docs/bookstore/psap/p2018b1_sample.pdf</w:t>
        </w:r>
      </w:hyperlink>
      <w:r w:rsidR="000B5BD9">
        <w:t xml:space="preserve"> </w:t>
      </w:r>
    </w:p>
    <w:sectPr w:rsidR="000D4778" w:rsidSect="00F36A0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27" w:rsidRDefault="005E5C27">
      <w:r>
        <w:separator/>
      </w:r>
    </w:p>
  </w:endnote>
  <w:endnote w:type="continuationSeparator" w:id="0">
    <w:p w:rsidR="005E5C27" w:rsidRDefault="005E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91" w:rsidRPr="00730022" w:rsidRDefault="000B5BD9" w:rsidP="008200E0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27" w:rsidRDefault="005E5C27">
      <w:r>
        <w:separator/>
      </w:r>
    </w:p>
  </w:footnote>
  <w:footnote w:type="continuationSeparator" w:id="0">
    <w:p w:rsidR="005E5C27" w:rsidRDefault="005E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4BA"/>
    <w:multiLevelType w:val="hybridMultilevel"/>
    <w:tmpl w:val="F42CF1E4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2045F"/>
    <w:multiLevelType w:val="hybridMultilevel"/>
    <w:tmpl w:val="C6589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97E64"/>
    <w:multiLevelType w:val="hybridMultilevel"/>
    <w:tmpl w:val="4546F0D6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7C68"/>
    <w:multiLevelType w:val="hybridMultilevel"/>
    <w:tmpl w:val="CEB6D7E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5657"/>
    <w:multiLevelType w:val="multilevel"/>
    <w:tmpl w:val="1D90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76E83"/>
    <w:multiLevelType w:val="hybridMultilevel"/>
    <w:tmpl w:val="F2D227B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B72E4"/>
    <w:multiLevelType w:val="hybridMultilevel"/>
    <w:tmpl w:val="D4929A84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6017F"/>
    <w:multiLevelType w:val="hybridMultilevel"/>
    <w:tmpl w:val="0D584C4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5833A02"/>
    <w:multiLevelType w:val="hybridMultilevel"/>
    <w:tmpl w:val="42C0524C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90EC0"/>
    <w:multiLevelType w:val="hybridMultilevel"/>
    <w:tmpl w:val="842AB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337710"/>
    <w:multiLevelType w:val="hybridMultilevel"/>
    <w:tmpl w:val="B4F8319C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9F72598C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24E05"/>
    <w:multiLevelType w:val="hybridMultilevel"/>
    <w:tmpl w:val="A260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441B0"/>
    <w:multiLevelType w:val="hybridMultilevel"/>
    <w:tmpl w:val="91B2F740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6F395F"/>
    <w:multiLevelType w:val="hybridMultilevel"/>
    <w:tmpl w:val="64A44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E01E5A"/>
    <w:multiLevelType w:val="hybridMultilevel"/>
    <w:tmpl w:val="2EA2765C"/>
    <w:lvl w:ilvl="0" w:tplc="F9A4C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0E351F"/>
    <w:multiLevelType w:val="hybridMultilevel"/>
    <w:tmpl w:val="69EC014E"/>
    <w:lvl w:ilvl="0" w:tplc="72406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81037"/>
    <w:multiLevelType w:val="hybridMultilevel"/>
    <w:tmpl w:val="85766F22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BC77E3"/>
    <w:multiLevelType w:val="hybridMultilevel"/>
    <w:tmpl w:val="35A6A3F4"/>
    <w:lvl w:ilvl="0" w:tplc="BC0A80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64970"/>
    <w:multiLevelType w:val="hybridMultilevel"/>
    <w:tmpl w:val="C504BB7E"/>
    <w:lvl w:ilvl="0" w:tplc="B2A2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450676"/>
    <w:multiLevelType w:val="hybridMultilevel"/>
    <w:tmpl w:val="1A8CEAA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71059BD"/>
    <w:multiLevelType w:val="hybridMultilevel"/>
    <w:tmpl w:val="FDC2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37D72"/>
    <w:multiLevelType w:val="hybridMultilevel"/>
    <w:tmpl w:val="93A8F67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60DF4"/>
    <w:multiLevelType w:val="hybridMultilevel"/>
    <w:tmpl w:val="371E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9D05E1"/>
    <w:multiLevelType w:val="hybridMultilevel"/>
    <w:tmpl w:val="C504BB7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56C2B"/>
    <w:multiLevelType w:val="hybridMultilevel"/>
    <w:tmpl w:val="112E9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A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6E5232D"/>
    <w:multiLevelType w:val="hybridMultilevel"/>
    <w:tmpl w:val="7A185C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AF4AAE"/>
    <w:multiLevelType w:val="hybridMultilevel"/>
    <w:tmpl w:val="6160082A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57A60"/>
    <w:multiLevelType w:val="hybridMultilevel"/>
    <w:tmpl w:val="19CAE03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A140A"/>
    <w:multiLevelType w:val="hybridMultilevel"/>
    <w:tmpl w:val="DB700AE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C3054"/>
    <w:multiLevelType w:val="hybridMultilevel"/>
    <w:tmpl w:val="60E6CFE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37004"/>
    <w:multiLevelType w:val="multilevel"/>
    <w:tmpl w:val="2D2C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29"/>
  </w:num>
  <w:num w:numId="5">
    <w:abstractNumId w:val="17"/>
  </w:num>
  <w:num w:numId="6">
    <w:abstractNumId w:val="12"/>
  </w:num>
  <w:num w:numId="7">
    <w:abstractNumId w:val="25"/>
  </w:num>
  <w:num w:numId="8">
    <w:abstractNumId w:val="27"/>
  </w:num>
  <w:num w:numId="9">
    <w:abstractNumId w:val="14"/>
  </w:num>
  <w:num w:numId="10">
    <w:abstractNumId w:val="8"/>
  </w:num>
  <w:num w:numId="11">
    <w:abstractNumId w:val="19"/>
  </w:num>
  <w:num w:numId="12">
    <w:abstractNumId w:val="24"/>
  </w:num>
  <w:num w:numId="13">
    <w:abstractNumId w:val="6"/>
  </w:num>
  <w:num w:numId="14">
    <w:abstractNumId w:val="22"/>
  </w:num>
  <w:num w:numId="15">
    <w:abstractNumId w:val="5"/>
  </w:num>
  <w:num w:numId="16">
    <w:abstractNumId w:val="2"/>
  </w:num>
  <w:num w:numId="17">
    <w:abstractNumId w:val="15"/>
  </w:num>
  <w:num w:numId="18">
    <w:abstractNumId w:val="10"/>
  </w:num>
  <w:num w:numId="19">
    <w:abstractNumId w:val="3"/>
  </w:num>
  <w:num w:numId="20">
    <w:abstractNumId w:val="18"/>
  </w:num>
  <w:num w:numId="21">
    <w:abstractNumId w:val="26"/>
  </w:num>
  <w:num w:numId="22">
    <w:abstractNumId w:val="23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1"/>
  </w:num>
  <w:num w:numId="26">
    <w:abstractNumId w:val="13"/>
  </w:num>
  <w:num w:numId="27">
    <w:abstractNumId w:val="1"/>
  </w:num>
  <w:num w:numId="28">
    <w:abstractNumId w:val="11"/>
  </w:num>
  <w:num w:numId="29">
    <w:abstractNumId w:val="31"/>
  </w:num>
  <w:num w:numId="30">
    <w:abstractNumId w:val="4"/>
  </w:num>
  <w:num w:numId="31">
    <w:abstractNumId w:val="20"/>
  </w:num>
  <w:num w:numId="32">
    <w:abstractNumId w:val="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128B2"/>
    <w:rsid w:val="00026D72"/>
    <w:rsid w:val="00050AD6"/>
    <w:rsid w:val="00066BB8"/>
    <w:rsid w:val="00080DE4"/>
    <w:rsid w:val="000B0553"/>
    <w:rsid w:val="000B3183"/>
    <w:rsid w:val="000B5BD9"/>
    <w:rsid w:val="000D4778"/>
    <w:rsid w:val="000E45C4"/>
    <w:rsid w:val="000E671D"/>
    <w:rsid w:val="000E6998"/>
    <w:rsid w:val="000F1691"/>
    <w:rsid w:val="00113AE1"/>
    <w:rsid w:val="0012314F"/>
    <w:rsid w:val="001324A5"/>
    <w:rsid w:val="00142A85"/>
    <w:rsid w:val="001502F4"/>
    <w:rsid w:val="0018255C"/>
    <w:rsid w:val="00187933"/>
    <w:rsid w:val="001F07BC"/>
    <w:rsid w:val="00214F4A"/>
    <w:rsid w:val="002414A6"/>
    <w:rsid w:val="00251CC2"/>
    <w:rsid w:val="00273BEC"/>
    <w:rsid w:val="00293C4E"/>
    <w:rsid w:val="002A2F64"/>
    <w:rsid w:val="002B7453"/>
    <w:rsid w:val="002C35B2"/>
    <w:rsid w:val="002D59AF"/>
    <w:rsid w:val="002D7550"/>
    <w:rsid w:val="002E5307"/>
    <w:rsid w:val="002F53D8"/>
    <w:rsid w:val="003464BA"/>
    <w:rsid w:val="00353695"/>
    <w:rsid w:val="00353A26"/>
    <w:rsid w:val="0036356D"/>
    <w:rsid w:val="00366BDB"/>
    <w:rsid w:val="003850DC"/>
    <w:rsid w:val="003973A5"/>
    <w:rsid w:val="003A3429"/>
    <w:rsid w:val="003E76B8"/>
    <w:rsid w:val="003F760A"/>
    <w:rsid w:val="004001AE"/>
    <w:rsid w:val="004027C7"/>
    <w:rsid w:val="004677A8"/>
    <w:rsid w:val="00471D17"/>
    <w:rsid w:val="00485A18"/>
    <w:rsid w:val="004E6FDC"/>
    <w:rsid w:val="00555190"/>
    <w:rsid w:val="005675B5"/>
    <w:rsid w:val="005B58D9"/>
    <w:rsid w:val="005E5C27"/>
    <w:rsid w:val="006142F1"/>
    <w:rsid w:val="00621A51"/>
    <w:rsid w:val="006424DB"/>
    <w:rsid w:val="006624A0"/>
    <w:rsid w:val="006652F7"/>
    <w:rsid w:val="00666ADA"/>
    <w:rsid w:val="00672185"/>
    <w:rsid w:val="006B5BF5"/>
    <w:rsid w:val="006C5907"/>
    <w:rsid w:val="006E6AB8"/>
    <w:rsid w:val="006E768F"/>
    <w:rsid w:val="006F7EE7"/>
    <w:rsid w:val="00702D83"/>
    <w:rsid w:val="0070605E"/>
    <w:rsid w:val="00721F45"/>
    <w:rsid w:val="00730022"/>
    <w:rsid w:val="007541F0"/>
    <w:rsid w:val="00773A24"/>
    <w:rsid w:val="007D506D"/>
    <w:rsid w:val="00805CEB"/>
    <w:rsid w:val="008200E0"/>
    <w:rsid w:val="00821CBF"/>
    <w:rsid w:val="008379DB"/>
    <w:rsid w:val="0084556F"/>
    <w:rsid w:val="00860550"/>
    <w:rsid w:val="008855A6"/>
    <w:rsid w:val="008B09BC"/>
    <w:rsid w:val="0090059D"/>
    <w:rsid w:val="00932990"/>
    <w:rsid w:val="00935E2F"/>
    <w:rsid w:val="00944DA4"/>
    <w:rsid w:val="00994EFE"/>
    <w:rsid w:val="009A27D6"/>
    <w:rsid w:val="009B2B16"/>
    <w:rsid w:val="009D29D5"/>
    <w:rsid w:val="009E703F"/>
    <w:rsid w:val="00A61B5B"/>
    <w:rsid w:val="00A66DF2"/>
    <w:rsid w:val="00A92115"/>
    <w:rsid w:val="00A95423"/>
    <w:rsid w:val="00A96841"/>
    <w:rsid w:val="00AF1CFF"/>
    <w:rsid w:val="00AF4F14"/>
    <w:rsid w:val="00B42F3F"/>
    <w:rsid w:val="00B53E0F"/>
    <w:rsid w:val="00B635DB"/>
    <w:rsid w:val="00B75A95"/>
    <w:rsid w:val="00B85855"/>
    <w:rsid w:val="00B876A8"/>
    <w:rsid w:val="00B93F56"/>
    <w:rsid w:val="00BA6C55"/>
    <w:rsid w:val="00BC323C"/>
    <w:rsid w:val="00BC5108"/>
    <w:rsid w:val="00BF49E6"/>
    <w:rsid w:val="00C03056"/>
    <w:rsid w:val="00C143B9"/>
    <w:rsid w:val="00C40686"/>
    <w:rsid w:val="00C42687"/>
    <w:rsid w:val="00C44D46"/>
    <w:rsid w:val="00C52524"/>
    <w:rsid w:val="00C57726"/>
    <w:rsid w:val="00C765C0"/>
    <w:rsid w:val="00CB1E3F"/>
    <w:rsid w:val="00D64A12"/>
    <w:rsid w:val="00D729BA"/>
    <w:rsid w:val="00DA4128"/>
    <w:rsid w:val="00DB2CF6"/>
    <w:rsid w:val="00DB51C0"/>
    <w:rsid w:val="00DB6310"/>
    <w:rsid w:val="00DD0CA8"/>
    <w:rsid w:val="00DE6929"/>
    <w:rsid w:val="00DF2078"/>
    <w:rsid w:val="00DF2B97"/>
    <w:rsid w:val="00DF7BEC"/>
    <w:rsid w:val="00E316EF"/>
    <w:rsid w:val="00E52D02"/>
    <w:rsid w:val="00E718FB"/>
    <w:rsid w:val="00E777D7"/>
    <w:rsid w:val="00E90E3F"/>
    <w:rsid w:val="00EA260F"/>
    <w:rsid w:val="00EB025E"/>
    <w:rsid w:val="00EB221D"/>
    <w:rsid w:val="00EE1B8F"/>
    <w:rsid w:val="00F0050B"/>
    <w:rsid w:val="00F10334"/>
    <w:rsid w:val="00F23AC6"/>
    <w:rsid w:val="00F36A04"/>
    <w:rsid w:val="00F86DF6"/>
    <w:rsid w:val="00F928C7"/>
    <w:rsid w:val="00FC5B74"/>
    <w:rsid w:val="00FD238D"/>
    <w:rsid w:val="00FD6FAC"/>
    <w:rsid w:val="00FD750F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10286AD-E904-43C9-950D-13A2A0FE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link w:val="BodyTextChar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link w:val="BodyText2Char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3299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32990"/>
    <w:rPr>
      <w:rFonts w:ascii="Tahoma" w:hAnsi="Tahoma" w:cs="Tahoma"/>
      <w:bCs/>
      <w:sz w:val="16"/>
      <w:szCs w:val="16"/>
    </w:rPr>
  </w:style>
  <w:style w:type="character" w:styleId="CommentReference">
    <w:name w:val="annotation reference"/>
    <w:rsid w:val="009329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990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932990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rsid w:val="00932990"/>
    <w:rPr>
      <w:b/>
    </w:rPr>
  </w:style>
  <w:style w:type="character" w:customStyle="1" w:styleId="CommentSubjectChar">
    <w:name w:val="Comment Subject Char"/>
    <w:link w:val="CommentSubject"/>
    <w:rsid w:val="00932990"/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rsid w:val="00EB025E"/>
    <w:rPr>
      <w:rFonts w:ascii="Arial" w:hAnsi="Arial" w:cs="Arial"/>
      <w:bCs/>
      <w:szCs w:val="24"/>
    </w:rPr>
  </w:style>
  <w:style w:type="character" w:customStyle="1" w:styleId="BodyText2Char">
    <w:name w:val="Body Text 2 Char"/>
    <w:link w:val="BodyText2"/>
    <w:rsid w:val="00EB025E"/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02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accp.com/docs/bookstore/psap/p2018b1_sampl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XRUYQT3274NZ-681238054-1505</_dlc_DocId>
    <_dlc_DocIdUrl xmlns="b22f8f74-215c-4154-9939-bd29e4e8980e">
      <Url>https://supportservices.jobcorps.gov/health/_layouts/15/DocIdRedir.aspx?ID=XRUYQT3274NZ-681238054-1505</Url>
      <Description>XRUYQT3274NZ-681238054-1505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F1ECA9-B352-460A-8662-CDA54D3F31D3}"/>
</file>

<file path=customXml/itemProps2.xml><?xml version="1.0" encoding="utf-8"?>
<ds:datastoreItem xmlns:ds="http://schemas.openxmlformats.org/officeDocument/2006/customXml" ds:itemID="{43A581E6-6C7A-4C1D-BD1E-70F56ED6E7BA}"/>
</file>

<file path=customXml/itemProps3.xml><?xml version="1.0" encoding="utf-8"?>
<ds:datastoreItem xmlns:ds="http://schemas.openxmlformats.org/officeDocument/2006/customXml" ds:itemID="{FCF0BF38-97D1-4117-8EB6-2E1E198FAE00}"/>
</file>

<file path=customXml/itemProps4.xml><?xml version="1.0" encoding="utf-8"?>
<ds:datastoreItem xmlns:ds="http://schemas.openxmlformats.org/officeDocument/2006/customXml" ds:itemID="{CE830DB5-7183-4A7D-8FC1-A5C47F389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Urinary Tract Infection (UTI)</vt:lpstr>
    </vt:vector>
  </TitlesOfParts>
  <Company>Humanitas, Inc.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Urinary Tract Infection (UTI)</dc:title>
  <dc:subject/>
  <dc:creator>jdavis</dc:creator>
  <cp:keywords/>
  <cp:lastModifiedBy>Carolina Valdenegro</cp:lastModifiedBy>
  <cp:revision>5</cp:revision>
  <cp:lastPrinted>2019-11-20T21:10:00Z</cp:lastPrinted>
  <dcterms:created xsi:type="dcterms:W3CDTF">2019-05-03T18:40:00Z</dcterms:created>
  <dcterms:modified xsi:type="dcterms:W3CDTF">2019-11-20T21:11:00Z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002e5c7a-807c-460f-9ef5-dc7f85cde89f</vt:lpwstr>
  </property>
</Properties>
</file>